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9" w:rsidRPr="0099358B" w:rsidRDefault="0099358B" w:rsidP="0099358B">
      <w:pPr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99358B">
        <w:rPr>
          <w:rFonts w:eastAsia="Times New Roman" w:cs="Times New Roman"/>
          <w:szCs w:val="24"/>
          <w:lang w:eastAsia="ru-RU"/>
        </w:rPr>
        <w:t>Н.А.РОМАНОВИЧ</w:t>
      </w:r>
    </w:p>
    <w:p w:rsidR="00384769" w:rsidRDefault="00384769" w:rsidP="00D22420">
      <w:pPr>
        <w:rPr>
          <w:rFonts w:eastAsia="Times New Roman" w:cs="Times New Roman"/>
          <w:color w:val="FF0000"/>
          <w:szCs w:val="24"/>
          <w:lang w:eastAsia="ru-RU"/>
        </w:rPr>
      </w:pPr>
    </w:p>
    <w:p w:rsidR="00384769" w:rsidRDefault="00384769" w:rsidP="00D22420">
      <w:pPr>
        <w:rPr>
          <w:rFonts w:eastAsia="Times New Roman" w:cs="Times New Roman"/>
          <w:color w:val="FF0000"/>
          <w:szCs w:val="24"/>
          <w:lang w:eastAsia="ru-RU"/>
        </w:rPr>
      </w:pPr>
    </w:p>
    <w:p w:rsidR="0099358B" w:rsidRDefault="0099358B" w:rsidP="008F723B">
      <w:pPr>
        <w:jc w:val="center"/>
        <w:rPr>
          <w:rFonts w:eastAsia="Times New Roman" w:cs="Arial"/>
          <w:bCs/>
          <w:spacing w:val="-4"/>
          <w:szCs w:val="24"/>
          <w:lang w:eastAsia="ru-RU"/>
        </w:rPr>
      </w:pPr>
      <w:r>
        <w:rPr>
          <w:rFonts w:eastAsia="Times New Roman" w:cs="Arial"/>
          <w:bCs/>
          <w:spacing w:val="-4"/>
          <w:szCs w:val="24"/>
          <w:lang w:eastAsia="ru-RU"/>
        </w:rPr>
        <w:t>Ф</w:t>
      </w:r>
      <w:r w:rsidRPr="0099358B">
        <w:rPr>
          <w:rFonts w:eastAsia="Times New Roman" w:cs="Arial"/>
          <w:bCs/>
          <w:spacing w:val="-4"/>
          <w:szCs w:val="24"/>
          <w:lang w:eastAsia="ru-RU"/>
        </w:rPr>
        <w:t>ЕНОМЕН СОЦИАЛ</w:t>
      </w:r>
      <w:r>
        <w:rPr>
          <w:rFonts w:eastAsia="Times New Roman" w:cs="Arial"/>
          <w:bCs/>
          <w:spacing w:val="-4"/>
          <w:szCs w:val="24"/>
          <w:lang w:eastAsia="ru-RU"/>
        </w:rPr>
        <w:t xml:space="preserve">ЬНОГО ОПТИМИЗМА </w:t>
      </w:r>
      <w:r w:rsidR="004B56D6">
        <w:rPr>
          <w:rFonts w:eastAsia="Times New Roman" w:cs="Arial"/>
          <w:bCs/>
          <w:spacing w:val="-4"/>
          <w:szCs w:val="24"/>
          <w:lang w:eastAsia="ru-RU"/>
        </w:rPr>
        <w:t>И НЕОДНОЗНАЧНОСТЬ ЕГО ОСНОВАНИЙ</w:t>
      </w:r>
    </w:p>
    <w:p w:rsidR="0099358B" w:rsidRDefault="0099358B" w:rsidP="008F723B">
      <w:pPr>
        <w:jc w:val="center"/>
        <w:rPr>
          <w:rFonts w:eastAsia="Times New Roman" w:cs="Arial"/>
          <w:bCs/>
          <w:spacing w:val="-4"/>
          <w:szCs w:val="24"/>
          <w:lang w:eastAsia="ru-RU"/>
        </w:rPr>
      </w:pPr>
    </w:p>
    <w:p w:rsidR="008F723B" w:rsidRDefault="0099358B" w:rsidP="0099358B">
      <w:pPr>
        <w:jc w:val="left"/>
        <w:rPr>
          <w:sz w:val="23"/>
          <w:szCs w:val="23"/>
        </w:rPr>
      </w:pPr>
      <w:r>
        <w:rPr>
          <w:rFonts w:eastAsia="Times New Roman" w:cs="Arial"/>
          <w:bCs/>
          <w:spacing w:val="-4"/>
          <w:szCs w:val="24"/>
          <w:lang w:eastAsia="ru-RU"/>
        </w:rPr>
        <w:t>РОМАНОВИЧ Н.А.</w:t>
      </w:r>
      <w:r w:rsidRPr="0099358B">
        <w:rPr>
          <w:rFonts w:eastAsia="Times New Roman" w:cs="Arial"/>
          <w:bCs/>
          <w:spacing w:val="-4"/>
          <w:szCs w:val="24"/>
          <w:lang w:eastAsia="ru-RU"/>
        </w:rPr>
        <w:t xml:space="preserve"> </w:t>
      </w:r>
      <w:r>
        <w:rPr>
          <w:rFonts w:eastAsia="Times New Roman" w:cs="Arial"/>
          <w:bCs/>
          <w:spacing w:val="-4"/>
          <w:szCs w:val="24"/>
          <w:lang w:eastAsia="ru-RU"/>
        </w:rPr>
        <w:t xml:space="preserve">– доктор социологических наук, профессор кафедры </w:t>
      </w:r>
      <w:r w:rsidR="00C20674">
        <w:rPr>
          <w:rFonts w:eastAsia="Times New Roman" w:cs="Arial"/>
          <w:bCs/>
          <w:spacing w:val="-4"/>
          <w:szCs w:val="24"/>
          <w:lang w:eastAsia="ru-RU"/>
        </w:rPr>
        <w:t xml:space="preserve">политологии и политического управления </w:t>
      </w:r>
      <w:r>
        <w:rPr>
          <w:rFonts w:eastAsia="Times New Roman" w:cs="Arial"/>
          <w:bCs/>
          <w:spacing w:val="-4"/>
          <w:szCs w:val="24"/>
          <w:lang w:eastAsia="ru-RU"/>
        </w:rPr>
        <w:t xml:space="preserve">Воронежского отделения </w:t>
      </w:r>
      <w:proofErr w:type="spellStart"/>
      <w:r>
        <w:rPr>
          <w:rFonts w:eastAsia="Times New Roman" w:cs="Arial"/>
          <w:bCs/>
          <w:spacing w:val="-4"/>
          <w:szCs w:val="24"/>
          <w:lang w:eastAsia="ru-RU"/>
        </w:rPr>
        <w:t>РАНХиГС</w:t>
      </w:r>
      <w:proofErr w:type="spellEnd"/>
      <w:r w:rsidR="00C20674">
        <w:rPr>
          <w:rFonts w:eastAsia="Times New Roman" w:cs="Arial"/>
          <w:bCs/>
          <w:spacing w:val="-4"/>
          <w:szCs w:val="24"/>
          <w:lang w:eastAsia="ru-RU"/>
        </w:rPr>
        <w:t xml:space="preserve"> при Президенте РФ, генеральный директор Института общественного мнения «Квалитас», </w:t>
      </w:r>
      <w:r w:rsidR="00C20674">
        <w:rPr>
          <w:sz w:val="23"/>
          <w:szCs w:val="23"/>
        </w:rPr>
        <w:t>E-</w:t>
      </w:r>
      <w:proofErr w:type="spellStart"/>
      <w:r w:rsidR="00C20674">
        <w:rPr>
          <w:sz w:val="23"/>
          <w:szCs w:val="23"/>
        </w:rPr>
        <w:t>mail</w:t>
      </w:r>
      <w:proofErr w:type="spellEnd"/>
      <w:r w:rsidR="00C20674">
        <w:rPr>
          <w:sz w:val="23"/>
          <w:szCs w:val="23"/>
        </w:rPr>
        <w:t>:</w:t>
      </w:r>
      <w:r w:rsidR="0057520E">
        <w:rPr>
          <w:sz w:val="23"/>
          <w:szCs w:val="23"/>
        </w:rPr>
        <w:t xml:space="preserve"> </w:t>
      </w:r>
      <w:r w:rsidR="0057520E">
        <w:rPr>
          <w:sz w:val="23"/>
          <w:szCs w:val="23"/>
          <w:lang w:val="en-US"/>
        </w:rPr>
        <w:t>nelly</w:t>
      </w:r>
      <w:r w:rsidR="0057520E" w:rsidRPr="0057520E">
        <w:rPr>
          <w:sz w:val="23"/>
          <w:szCs w:val="23"/>
        </w:rPr>
        <w:t>@</w:t>
      </w:r>
      <w:proofErr w:type="spellStart"/>
      <w:r w:rsidR="0057520E">
        <w:rPr>
          <w:sz w:val="23"/>
          <w:szCs w:val="23"/>
          <w:lang w:val="en-US"/>
        </w:rPr>
        <w:t>qualitas</w:t>
      </w:r>
      <w:proofErr w:type="spellEnd"/>
      <w:r w:rsidR="0057520E" w:rsidRPr="0057520E">
        <w:rPr>
          <w:sz w:val="23"/>
          <w:szCs w:val="23"/>
        </w:rPr>
        <w:t>.</w:t>
      </w:r>
      <w:proofErr w:type="spellStart"/>
      <w:r w:rsidR="0057520E">
        <w:rPr>
          <w:sz w:val="23"/>
          <w:szCs w:val="23"/>
          <w:lang w:val="en-US"/>
        </w:rPr>
        <w:t>ru</w:t>
      </w:r>
      <w:proofErr w:type="spellEnd"/>
      <w:r w:rsidR="0057520E">
        <w:rPr>
          <w:sz w:val="23"/>
          <w:szCs w:val="23"/>
        </w:rPr>
        <w:t>.</w:t>
      </w:r>
    </w:p>
    <w:p w:rsidR="0057520E" w:rsidRPr="0099358B" w:rsidRDefault="0057520E" w:rsidP="0099358B">
      <w:pPr>
        <w:jc w:val="left"/>
        <w:rPr>
          <w:rFonts w:eastAsia="Times New Roman" w:cs="Arial"/>
          <w:bCs/>
          <w:spacing w:val="-4"/>
          <w:szCs w:val="24"/>
          <w:lang w:eastAsia="ru-RU"/>
        </w:rPr>
      </w:pPr>
    </w:p>
    <w:p w:rsidR="002E2FD9" w:rsidRDefault="002E2FD9" w:rsidP="00E3410A">
      <w:pPr>
        <w:jc w:val="left"/>
        <w:rPr>
          <w:rFonts w:ascii="Arial" w:hAnsi="Arial" w:cs="Arial"/>
          <w:sz w:val="18"/>
          <w:szCs w:val="18"/>
        </w:rPr>
      </w:pPr>
    </w:p>
    <w:p w:rsidR="005A1248" w:rsidRPr="007432E8" w:rsidRDefault="005D2128" w:rsidP="000E6103">
      <w:pPr>
        <w:spacing w:line="276" w:lineRule="auto"/>
        <w:ind w:firstLine="567"/>
        <w:rPr>
          <w:rFonts w:cs="Times New Roman"/>
          <w:color w:val="212121"/>
        </w:rPr>
      </w:pPr>
      <w:r w:rsidRPr="007432E8">
        <w:rPr>
          <w:rFonts w:cs="Times New Roman"/>
          <w:szCs w:val="24"/>
        </w:rPr>
        <w:t xml:space="preserve"> К феномену социального оптимизма ученые обращались неоднократно. В частности, в трудах Канта есть работа: «</w:t>
      </w:r>
      <w:r w:rsidRPr="007432E8">
        <w:rPr>
          <w:rFonts w:cs="Times New Roman"/>
          <w:color w:val="212121"/>
        </w:rPr>
        <w:t xml:space="preserve">Опыт некоторых рассуждений магистра </w:t>
      </w:r>
      <w:proofErr w:type="spellStart"/>
      <w:r w:rsidRPr="007432E8">
        <w:rPr>
          <w:rFonts w:cs="Times New Roman"/>
          <w:color w:val="212121"/>
        </w:rPr>
        <w:t>Иммануила</w:t>
      </w:r>
      <w:proofErr w:type="spellEnd"/>
      <w:r w:rsidRPr="007432E8">
        <w:rPr>
          <w:rFonts w:cs="Times New Roman"/>
          <w:color w:val="212121"/>
        </w:rPr>
        <w:t xml:space="preserve"> Канта об оптимизме с одновременным оповещением о его лекциях на предстоящее полугодие»</w:t>
      </w:r>
      <w:r w:rsidR="000E6103">
        <w:rPr>
          <w:rFonts w:cs="Times New Roman"/>
          <w:color w:val="212121"/>
        </w:rPr>
        <w:t xml:space="preserve"> </w:t>
      </w:r>
      <w:r w:rsidR="005A1248" w:rsidRPr="007432E8">
        <w:rPr>
          <w:rFonts w:cs="Times New Roman"/>
          <w:color w:val="212121"/>
        </w:rPr>
        <w:t>[</w:t>
      </w:r>
      <w:r w:rsidR="000E6103">
        <w:rPr>
          <w:color w:val="212121"/>
        </w:rPr>
        <w:t>1</w:t>
      </w:r>
      <w:r w:rsidR="005A1248" w:rsidRPr="007432E8">
        <w:rPr>
          <w:rFonts w:cs="Times New Roman"/>
          <w:color w:val="212121"/>
        </w:rPr>
        <w:t xml:space="preserve">]. </w:t>
      </w:r>
    </w:p>
    <w:p w:rsidR="0057520E" w:rsidRPr="007432E8" w:rsidRDefault="00B63D6F" w:rsidP="0057520E">
      <w:pPr>
        <w:spacing w:line="276" w:lineRule="auto"/>
        <w:ind w:firstLine="567"/>
        <w:rPr>
          <w:rFonts w:cs="Times New Roman"/>
        </w:rPr>
      </w:pPr>
      <w:proofErr w:type="gramStart"/>
      <w:r w:rsidRPr="007432E8">
        <w:rPr>
          <w:rFonts w:eastAsia="Times New Roman" w:cs="Times New Roman"/>
          <w:color w:val="212121"/>
          <w:szCs w:val="24"/>
          <w:lang w:eastAsia="ru-RU"/>
        </w:rPr>
        <w:t>Среди зарубежных авторов можно упомянуть тех, кто проявил интерес к этой теме, исследуя надежды и чаяния э</w:t>
      </w:r>
      <w:r w:rsidR="0057520E" w:rsidRPr="007432E8">
        <w:rPr>
          <w:rFonts w:eastAsia="Times New Roman" w:cs="Times New Roman"/>
          <w:color w:val="212121"/>
          <w:szCs w:val="24"/>
          <w:lang w:eastAsia="ru-RU"/>
        </w:rPr>
        <w:t>лектората в современном обществе, а именно, т</w:t>
      </w:r>
      <w:r w:rsidRPr="007432E8">
        <w:rPr>
          <w:rFonts w:eastAsia="Times New Roman" w:cs="Times New Roman"/>
          <w:color w:val="212121"/>
          <w:szCs w:val="24"/>
          <w:lang w:eastAsia="ru-RU"/>
        </w:rPr>
        <w:t xml:space="preserve">аких ученых, как   М. </w:t>
      </w:r>
      <w:proofErr w:type="spellStart"/>
      <w:r w:rsidRPr="007432E8">
        <w:rPr>
          <w:rFonts w:eastAsia="Times New Roman" w:cs="Times New Roman"/>
          <w:color w:val="212121"/>
          <w:szCs w:val="24"/>
          <w:lang w:eastAsia="ru-RU"/>
        </w:rPr>
        <w:t>Зелигман</w:t>
      </w:r>
      <w:proofErr w:type="spellEnd"/>
      <w:r w:rsidRPr="007432E8">
        <w:rPr>
          <w:rFonts w:eastAsia="Times New Roman" w:cs="Times New Roman"/>
          <w:color w:val="212121"/>
          <w:szCs w:val="24"/>
          <w:lang w:eastAsia="ru-RU"/>
        </w:rPr>
        <w:t xml:space="preserve">,  К. </w:t>
      </w:r>
      <w:proofErr w:type="spellStart"/>
      <w:r w:rsidRPr="007432E8">
        <w:rPr>
          <w:rFonts w:eastAsia="Times New Roman" w:cs="Times New Roman"/>
          <w:color w:val="212121"/>
          <w:szCs w:val="24"/>
          <w:lang w:eastAsia="ru-RU"/>
        </w:rPr>
        <w:t>Маннгейм</w:t>
      </w:r>
      <w:proofErr w:type="spellEnd"/>
      <w:r w:rsidRPr="007432E8">
        <w:rPr>
          <w:rFonts w:eastAsia="Times New Roman" w:cs="Times New Roman"/>
          <w:color w:val="212121"/>
          <w:szCs w:val="24"/>
          <w:lang w:eastAsia="ru-RU"/>
        </w:rPr>
        <w:t xml:space="preserve">, Т. </w:t>
      </w:r>
      <w:proofErr w:type="spellStart"/>
      <w:r w:rsidRPr="007432E8">
        <w:rPr>
          <w:rFonts w:eastAsia="Times New Roman" w:cs="Times New Roman"/>
          <w:color w:val="212121"/>
          <w:szCs w:val="24"/>
          <w:lang w:eastAsia="ru-RU"/>
        </w:rPr>
        <w:t>Парсонс</w:t>
      </w:r>
      <w:proofErr w:type="spellEnd"/>
      <w:r w:rsidRPr="007432E8">
        <w:rPr>
          <w:rFonts w:eastAsia="Times New Roman" w:cs="Times New Roman"/>
          <w:color w:val="212121"/>
          <w:szCs w:val="24"/>
          <w:lang w:eastAsia="ru-RU"/>
        </w:rPr>
        <w:t xml:space="preserve">, К. </w:t>
      </w:r>
      <w:proofErr w:type="spellStart"/>
      <w:r w:rsidRPr="007432E8">
        <w:rPr>
          <w:rFonts w:eastAsia="Times New Roman" w:cs="Times New Roman"/>
          <w:color w:val="212121"/>
          <w:szCs w:val="24"/>
          <w:lang w:eastAsia="ru-RU"/>
        </w:rPr>
        <w:t>Кенстоун</w:t>
      </w:r>
      <w:proofErr w:type="spellEnd"/>
      <w:r w:rsidRPr="007432E8">
        <w:rPr>
          <w:rFonts w:eastAsia="Times New Roman" w:cs="Times New Roman"/>
          <w:color w:val="212121"/>
          <w:szCs w:val="24"/>
          <w:lang w:eastAsia="ru-RU"/>
        </w:rPr>
        <w:t xml:space="preserve"> и др.</w:t>
      </w:r>
      <w:r w:rsidR="001F1BFA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 w:rsidR="00485EF0" w:rsidRPr="007432E8">
        <w:rPr>
          <w:rFonts w:eastAsia="Times New Roman" w:cs="Times New Roman"/>
          <w:color w:val="212121"/>
          <w:szCs w:val="24"/>
          <w:lang w:eastAsia="ru-RU"/>
        </w:rPr>
        <w:t xml:space="preserve">Социальный философ </w:t>
      </w:r>
      <w:proofErr w:type="spellStart"/>
      <w:r w:rsidR="00485EF0" w:rsidRPr="007432E8">
        <w:rPr>
          <w:rFonts w:eastAsia="Times New Roman" w:cs="Times New Roman"/>
          <w:color w:val="212121"/>
          <w:szCs w:val="24"/>
          <w:lang w:eastAsia="ru-RU"/>
        </w:rPr>
        <w:t>Шарифат</w:t>
      </w:r>
      <w:proofErr w:type="spellEnd"/>
      <w:r w:rsidR="00485EF0" w:rsidRPr="007432E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proofErr w:type="spellStart"/>
      <w:r w:rsidR="00485EF0" w:rsidRPr="007432E8">
        <w:rPr>
          <w:rFonts w:eastAsia="Times New Roman" w:cs="Times New Roman"/>
          <w:color w:val="212121"/>
          <w:szCs w:val="24"/>
          <w:lang w:eastAsia="ru-RU"/>
        </w:rPr>
        <w:t>Боташева</w:t>
      </w:r>
      <w:proofErr w:type="spellEnd"/>
      <w:r w:rsidR="00485EF0" w:rsidRPr="007432E8">
        <w:rPr>
          <w:rFonts w:eastAsia="Times New Roman" w:cs="Times New Roman"/>
          <w:color w:val="212121"/>
          <w:szCs w:val="24"/>
          <w:lang w:eastAsia="ru-RU"/>
        </w:rPr>
        <w:t xml:space="preserve"> отмечает в свое</w:t>
      </w:r>
      <w:r w:rsidR="00FB7309" w:rsidRPr="007432E8">
        <w:rPr>
          <w:rFonts w:eastAsia="Times New Roman" w:cs="Times New Roman"/>
          <w:color w:val="212121"/>
          <w:szCs w:val="24"/>
          <w:lang w:eastAsia="ru-RU"/>
        </w:rPr>
        <w:t>й</w:t>
      </w:r>
      <w:r w:rsidR="00485EF0" w:rsidRPr="007432E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 w:rsidR="00FB7309" w:rsidRPr="007432E8">
        <w:rPr>
          <w:rFonts w:eastAsia="Times New Roman" w:cs="Times New Roman"/>
          <w:color w:val="212121"/>
          <w:szCs w:val="24"/>
          <w:lang w:eastAsia="ru-RU"/>
        </w:rPr>
        <w:t>работе</w:t>
      </w:r>
      <w:r w:rsidR="00485EF0" w:rsidRPr="007432E8">
        <w:rPr>
          <w:rFonts w:eastAsia="Times New Roman" w:cs="Times New Roman"/>
          <w:color w:val="212121"/>
          <w:szCs w:val="24"/>
          <w:lang w:eastAsia="ru-RU"/>
        </w:rPr>
        <w:t>, что оптимизм не пассивен, а выполняет различные социальные функции, в частности, побуждение к деятельности, формирования и регулирования</w:t>
      </w:r>
      <w:proofErr w:type="gramEnd"/>
      <w:r w:rsidR="00485EF0" w:rsidRPr="007432E8">
        <w:rPr>
          <w:rFonts w:eastAsia="Times New Roman" w:cs="Times New Roman"/>
          <w:color w:val="212121"/>
          <w:szCs w:val="24"/>
          <w:lang w:eastAsia="ru-RU"/>
        </w:rPr>
        <w:t xml:space="preserve">, конструирования и творчества, познания и оценки. </w:t>
      </w:r>
      <w:r w:rsidR="00FB7309" w:rsidRPr="007432E8">
        <w:rPr>
          <w:rFonts w:eastAsia="Times New Roman" w:cs="Times New Roman"/>
          <w:color w:val="212121"/>
          <w:szCs w:val="24"/>
          <w:lang w:eastAsia="ru-RU"/>
        </w:rPr>
        <w:t xml:space="preserve">По мнению ученого, </w:t>
      </w:r>
      <w:hyperlink r:id="rId6" w:history="1">
        <w:r w:rsidR="005A1248" w:rsidRPr="007432E8">
          <w:rPr>
            <w:rFonts w:eastAsia="Times New Roman" w:cs="Times New Roman"/>
            <w:color w:val="212121"/>
            <w:szCs w:val="24"/>
            <w:lang w:eastAsia="ru-RU"/>
          </w:rPr>
          <w:t>социальный</w:t>
        </w:r>
      </w:hyperlink>
      <w:r w:rsidR="00066228" w:rsidRPr="007432E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hyperlink r:id="rId7" w:history="1">
        <w:r w:rsidR="00066228" w:rsidRPr="007432E8">
          <w:rPr>
            <w:rFonts w:eastAsia="Times New Roman" w:cs="Times New Roman"/>
            <w:color w:val="212121"/>
            <w:szCs w:val="24"/>
            <w:lang w:eastAsia="ru-RU"/>
          </w:rPr>
          <w:t>оптимизм</w:t>
        </w:r>
      </w:hyperlink>
      <w:r w:rsidR="00066228" w:rsidRPr="007432E8">
        <w:rPr>
          <w:rFonts w:eastAsia="Times New Roman" w:cs="Times New Roman"/>
          <w:color w:val="212121"/>
          <w:szCs w:val="24"/>
          <w:lang w:eastAsia="ru-RU"/>
        </w:rPr>
        <w:t xml:space="preserve"> как мотивация представляет собой </w:t>
      </w:r>
      <w:r w:rsidR="0057520E" w:rsidRPr="007432E8">
        <w:rPr>
          <w:rFonts w:eastAsia="Times New Roman" w:cs="Times New Roman"/>
          <w:color w:val="212121"/>
          <w:szCs w:val="24"/>
          <w:lang w:eastAsia="ru-RU"/>
        </w:rPr>
        <w:t>«</w:t>
      </w:r>
      <w:r w:rsidR="00066228" w:rsidRPr="007432E8">
        <w:rPr>
          <w:rFonts w:eastAsia="Times New Roman" w:cs="Times New Roman"/>
          <w:color w:val="212121"/>
          <w:szCs w:val="24"/>
          <w:lang w:eastAsia="ru-RU"/>
        </w:rPr>
        <w:t xml:space="preserve">единый механизм, основанный на синтезе, композиции когнитивных, </w:t>
      </w:r>
      <w:proofErr w:type="spellStart"/>
      <w:r w:rsidR="00066228" w:rsidRPr="007432E8">
        <w:rPr>
          <w:rFonts w:eastAsia="Times New Roman" w:cs="Times New Roman"/>
          <w:color w:val="212121"/>
          <w:szCs w:val="24"/>
          <w:lang w:eastAsia="ru-RU"/>
        </w:rPr>
        <w:t>аффектных</w:t>
      </w:r>
      <w:proofErr w:type="spellEnd"/>
      <w:r w:rsidR="00066228" w:rsidRPr="007432E8">
        <w:rPr>
          <w:rFonts w:eastAsia="Times New Roman" w:cs="Times New Roman"/>
          <w:color w:val="212121"/>
          <w:szCs w:val="24"/>
          <w:lang w:eastAsia="ru-RU"/>
        </w:rPr>
        <w:t xml:space="preserve">, волевых психических процессов, способный осуществлять непрерывное взаимодействие с постоянно меняющимся </w:t>
      </w:r>
      <w:hyperlink r:id="rId8" w:history="1">
        <w:r w:rsidR="00066228" w:rsidRPr="007432E8">
          <w:rPr>
            <w:rFonts w:eastAsia="Times New Roman" w:cs="Times New Roman"/>
            <w:color w:val="212121"/>
            <w:szCs w:val="24"/>
            <w:lang w:eastAsia="ru-RU"/>
          </w:rPr>
          <w:t>социальным</w:t>
        </w:r>
      </w:hyperlink>
      <w:r w:rsidR="00066228" w:rsidRPr="007432E8">
        <w:rPr>
          <w:rFonts w:eastAsia="Times New Roman" w:cs="Times New Roman"/>
          <w:color w:val="212121"/>
          <w:szCs w:val="24"/>
          <w:lang w:eastAsia="ru-RU"/>
        </w:rPr>
        <w:t xml:space="preserve"> контекстом, детерминирующим поведение человека</w:t>
      </w:r>
      <w:r w:rsidR="0057520E" w:rsidRPr="007432E8">
        <w:rPr>
          <w:rFonts w:eastAsia="Times New Roman" w:cs="Times New Roman"/>
          <w:color w:val="212121"/>
          <w:szCs w:val="24"/>
          <w:lang w:eastAsia="ru-RU"/>
        </w:rPr>
        <w:t>»</w:t>
      </w:r>
      <w:r w:rsidR="008035CE" w:rsidRPr="007432E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 w:rsidR="005A1248" w:rsidRPr="007432E8">
        <w:rPr>
          <w:rFonts w:cs="Times New Roman"/>
          <w:color w:val="212121"/>
        </w:rPr>
        <w:t>[</w:t>
      </w:r>
      <w:r w:rsidR="000E6103">
        <w:rPr>
          <w:rFonts w:cs="Times New Roman"/>
          <w:color w:val="212121"/>
        </w:rPr>
        <w:t>2, С. 53</w:t>
      </w:r>
      <w:r w:rsidR="005A1248" w:rsidRPr="007432E8">
        <w:rPr>
          <w:rFonts w:cs="Times New Roman"/>
          <w:color w:val="212121"/>
        </w:rPr>
        <w:t>]</w:t>
      </w:r>
      <w:r w:rsidR="000E6103">
        <w:rPr>
          <w:rFonts w:cs="Times New Roman"/>
          <w:color w:val="212121"/>
        </w:rPr>
        <w:t>.</w:t>
      </w:r>
      <w:r w:rsidR="008035CE" w:rsidRPr="007432E8">
        <w:rPr>
          <w:rFonts w:cs="Times New Roman"/>
          <w:color w:val="212121"/>
        </w:rPr>
        <w:t xml:space="preserve"> Иначе говоря, можно согласиться с мнение</w:t>
      </w:r>
      <w:r w:rsidR="0057520E" w:rsidRPr="007432E8">
        <w:rPr>
          <w:rFonts w:cs="Times New Roman"/>
          <w:color w:val="212121"/>
        </w:rPr>
        <w:t>м</w:t>
      </w:r>
      <w:r w:rsidR="008035CE" w:rsidRPr="007432E8">
        <w:rPr>
          <w:rFonts w:cs="Times New Roman"/>
          <w:color w:val="212121"/>
        </w:rPr>
        <w:t xml:space="preserve"> французского историка </w:t>
      </w:r>
      <w:r w:rsidR="008035CE" w:rsidRPr="007432E8">
        <w:rPr>
          <w:rFonts w:cs="Times New Roman"/>
        </w:rPr>
        <w:t xml:space="preserve">Франсуа </w:t>
      </w:r>
      <w:proofErr w:type="spellStart"/>
      <w:r w:rsidR="008035CE" w:rsidRPr="007432E8">
        <w:rPr>
          <w:rFonts w:cs="Times New Roman"/>
        </w:rPr>
        <w:t>Гизо</w:t>
      </w:r>
      <w:proofErr w:type="spellEnd"/>
      <w:r w:rsidR="008035CE" w:rsidRPr="007432E8">
        <w:rPr>
          <w:rFonts w:cs="Times New Roman"/>
        </w:rPr>
        <w:t>: «Мир принадлежит оптимистам, пессимисты - всего лишь зрители».</w:t>
      </w:r>
    </w:p>
    <w:p w:rsidR="00E3410A" w:rsidRPr="00235A36" w:rsidRDefault="00E3410A" w:rsidP="0057520E">
      <w:pPr>
        <w:spacing w:line="276" w:lineRule="auto"/>
        <w:ind w:firstLine="567"/>
        <w:rPr>
          <w:rFonts w:eastAsia="Times New Roman" w:cs="Times New Roman"/>
          <w:szCs w:val="24"/>
          <w:lang w:eastAsia="ru-RU"/>
        </w:rPr>
      </w:pPr>
      <w:bookmarkStart w:id="1" w:name="cutid1"/>
      <w:bookmarkEnd w:id="1"/>
      <w:r w:rsidRPr="00235A36">
        <w:rPr>
          <w:rFonts w:eastAsia="Times New Roman" w:cs="Times New Roman"/>
          <w:szCs w:val="24"/>
          <w:lang w:eastAsia="ru-RU"/>
        </w:rPr>
        <w:t xml:space="preserve">Социальный оптимизм </w:t>
      </w:r>
      <w:r w:rsidR="00235A36">
        <w:rPr>
          <w:rFonts w:eastAsia="Times New Roman" w:cs="Times New Roman"/>
          <w:szCs w:val="24"/>
          <w:lang w:eastAsia="ru-RU"/>
        </w:rPr>
        <w:t xml:space="preserve">современные словари </w:t>
      </w:r>
      <w:r w:rsidRPr="00235A36">
        <w:rPr>
          <w:rFonts w:eastAsia="Times New Roman" w:cs="Times New Roman"/>
          <w:szCs w:val="24"/>
          <w:lang w:eastAsia="ru-RU"/>
        </w:rPr>
        <w:t>определяет как духовное состояние людей, характеризуемое положительным восприятием действительности и уверенностью в возможностях улучшения жизни</w:t>
      </w:r>
      <w:r w:rsidR="000E6103">
        <w:rPr>
          <w:rFonts w:eastAsia="Times New Roman" w:cs="Times New Roman"/>
          <w:szCs w:val="24"/>
          <w:lang w:eastAsia="ru-RU"/>
        </w:rPr>
        <w:t xml:space="preserve"> </w:t>
      </w:r>
      <w:r w:rsidR="000E6103" w:rsidRPr="000E6103">
        <w:rPr>
          <w:rFonts w:eastAsia="Times New Roman" w:cs="Times New Roman"/>
          <w:szCs w:val="24"/>
          <w:lang w:eastAsia="ru-RU"/>
        </w:rPr>
        <w:t>[3]</w:t>
      </w:r>
      <w:r w:rsidRPr="00235A36">
        <w:rPr>
          <w:rFonts w:eastAsia="Times New Roman" w:cs="Times New Roman"/>
          <w:szCs w:val="24"/>
          <w:lang w:eastAsia="ru-RU"/>
        </w:rPr>
        <w:t xml:space="preserve">.  </w:t>
      </w:r>
    </w:p>
    <w:p w:rsidR="00384769" w:rsidRDefault="00E3410A" w:rsidP="004B56D6">
      <w:pPr>
        <w:spacing w:line="276" w:lineRule="auto"/>
        <w:ind w:firstLine="567"/>
        <w:rPr>
          <w:rFonts w:eastAsia="Times New Roman" w:cs="Arial"/>
          <w:b/>
          <w:bCs/>
          <w:i/>
          <w:spacing w:val="-4"/>
          <w:szCs w:val="24"/>
          <w:lang w:eastAsia="ru-RU"/>
        </w:rPr>
      </w:pPr>
      <w:r>
        <w:rPr>
          <w:rFonts w:eastAsia="Times New Roman" w:cs="Arial"/>
          <w:bCs/>
          <w:spacing w:val="-4"/>
          <w:szCs w:val="24"/>
          <w:lang w:eastAsia="ru-RU"/>
        </w:rPr>
        <w:t>При проведении социологических опросов сами граждане зачастую определ</w:t>
      </w:r>
      <w:r w:rsidR="009159E1">
        <w:rPr>
          <w:rFonts w:eastAsia="Times New Roman" w:cs="Arial"/>
          <w:bCs/>
          <w:spacing w:val="-4"/>
          <w:szCs w:val="24"/>
          <w:lang w:eastAsia="ru-RU"/>
        </w:rPr>
        <w:t>я</w:t>
      </w:r>
      <w:r>
        <w:rPr>
          <w:rFonts w:eastAsia="Times New Roman" w:cs="Arial"/>
          <w:bCs/>
          <w:spacing w:val="-4"/>
          <w:szCs w:val="24"/>
          <w:lang w:eastAsia="ru-RU"/>
        </w:rPr>
        <w:t>ют оптимизм как у</w:t>
      </w:r>
      <w:r w:rsidRPr="00E3410A">
        <w:rPr>
          <w:rFonts w:eastAsia="Times New Roman" w:cs="Times New Roman"/>
          <w:color w:val="333333"/>
          <w:szCs w:val="24"/>
          <w:lang w:eastAsia="ru-RU"/>
        </w:rPr>
        <w:t>веренность всего общества и каждого его члена в сегодняшнем и завтра</w:t>
      </w:r>
      <w:r w:rsidR="009159E1">
        <w:rPr>
          <w:rFonts w:eastAsia="Times New Roman" w:cs="Times New Roman"/>
          <w:color w:val="333333"/>
          <w:szCs w:val="24"/>
          <w:lang w:eastAsia="ru-RU"/>
        </w:rPr>
        <w:t>шнем дне; веру в будущее своего народа и т.п.</w:t>
      </w:r>
      <w:r w:rsidR="00235A36" w:rsidRPr="00235A3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35A36">
        <w:rPr>
          <w:rFonts w:eastAsia="Times New Roman" w:cs="Times New Roman"/>
          <w:color w:val="333333"/>
          <w:szCs w:val="24"/>
          <w:lang w:eastAsia="ru-RU"/>
        </w:rPr>
        <w:t xml:space="preserve">Опросы, </w:t>
      </w:r>
      <w:r w:rsidR="004B56D6">
        <w:rPr>
          <w:rFonts w:eastAsia="Times New Roman" w:cs="Times New Roman"/>
          <w:color w:val="333333"/>
          <w:szCs w:val="24"/>
          <w:lang w:eastAsia="ru-RU"/>
        </w:rPr>
        <w:t>результаты которых здесь представлены</w:t>
      </w:r>
      <w:r w:rsidR="00235A36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r w:rsidR="00384769">
        <w:rPr>
          <w:rFonts w:eastAsia="Times New Roman" w:cs="Arial"/>
          <w:bCs/>
          <w:spacing w:val="-4"/>
          <w:szCs w:val="24"/>
          <w:lang w:eastAsia="ru-RU"/>
        </w:rPr>
        <w:t>проводятся ИОМ «Квалитас» ежемесячно, выборка репрезентативна  для жителей города Воронежа старше 18 лет по полу, возрасту и образованию, размер выборки колеблется от 600 до 1000 человек</w:t>
      </w:r>
      <w:r w:rsidR="004C5A21">
        <w:rPr>
          <w:rFonts w:eastAsia="Times New Roman" w:cs="Arial"/>
          <w:bCs/>
          <w:spacing w:val="-4"/>
          <w:szCs w:val="24"/>
          <w:lang w:eastAsia="ru-RU"/>
        </w:rPr>
        <w:t xml:space="preserve"> </w:t>
      </w:r>
      <w:r w:rsidR="004C5A21" w:rsidRPr="004C5A21">
        <w:rPr>
          <w:rFonts w:eastAsia="Times New Roman" w:cs="Arial"/>
          <w:bCs/>
          <w:spacing w:val="-4"/>
          <w:szCs w:val="24"/>
          <w:lang w:eastAsia="ru-RU"/>
        </w:rPr>
        <w:t>[</w:t>
      </w:r>
      <w:r w:rsidR="000E6103" w:rsidRPr="000E6103">
        <w:rPr>
          <w:rFonts w:eastAsia="Times New Roman" w:cs="Arial"/>
          <w:bCs/>
          <w:spacing w:val="-4"/>
          <w:szCs w:val="24"/>
          <w:lang w:eastAsia="ru-RU"/>
        </w:rPr>
        <w:t>4</w:t>
      </w:r>
      <w:r w:rsidR="004C5A21" w:rsidRPr="004C5A21">
        <w:rPr>
          <w:rFonts w:eastAsia="Times New Roman" w:cs="Arial"/>
          <w:bCs/>
          <w:spacing w:val="-4"/>
          <w:szCs w:val="24"/>
          <w:lang w:eastAsia="ru-RU"/>
        </w:rPr>
        <w:t>]</w:t>
      </w:r>
      <w:r w:rsidR="00384769">
        <w:rPr>
          <w:rFonts w:eastAsia="Times New Roman" w:cs="Arial"/>
          <w:bCs/>
          <w:spacing w:val="-4"/>
          <w:szCs w:val="24"/>
          <w:lang w:eastAsia="ru-RU"/>
        </w:rPr>
        <w:t xml:space="preserve">. </w:t>
      </w:r>
      <w:r w:rsidR="00384769">
        <w:rPr>
          <w:rFonts w:eastAsia="Times New Roman" w:cs="Arial"/>
          <w:b/>
          <w:bCs/>
          <w:i/>
          <w:spacing w:val="-4"/>
          <w:szCs w:val="24"/>
          <w:lang w:eastAsia="ru-RU"/>
        </w:rPr>
        <w:t xml:space="preserve"> </w:t>
      </w:r>
    </w:p>
    <w:p w:rsidR="00384769" w:rsidRDefault="004B56D6" w:rsidP="004B56D6">
      <w:pPr>
        <w:spacing w:line="276" w:lineRule="auto"/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Данные</w:t>
      </w:r>
      <w:r w:rsidR="00235A36">
        <w:rPr>
          <w:rFonts w:eastAsia="Times New Roman" w:cs="Times New Roman"/>
          <w:szCs w:val="24"/>
          <w:lang w:eastAsia="ru-RU"/>
        </w:rPr>
        <w:t xml:space="preserve"> социологических </w:t>
      </w:r>
      <w:r w:rsidR="006E686B">
        <w:rPr>
          <w:rFonts w:eastAsia="Times New Roman" w:cs="Times New Roman"/>
          <w:szCs w:val="24"/>
          <w:lang w:eastAsia="ru-RU"/>
        </w:rPr>
        <w:t xml:space="preserve">исследований сегодня свидетельствуют о том, что </w:t>
      </w:r>
      <w:r w:rsidR="00384769">
        <w:rPr>
          <w:rFonts w:eastAsia="Times New Roman" w:cs="Times New Roman"/>
          <w:szCs w:val="24"/>
          <w:lang w:eastAsia="ru-RU"/>
        </w:rPr>
        <w:t xml:space="preserve">наступило время оптимизма, который </w:t>
      </w:r>
      <w:r>
        <w:rPr>
          <w:rFonts w:eastAsia="Times New Roman" w:cs="Times New Roman"/>
          <w:szCs w:val="24"/>
          <w:lang w:eastAsia="ru-RU"/>
        </w:rPr>
        <w:t>вроде бы не имеет очевидных оснований</w:t>
      </w:r>
      <w:r w:rsidR="00384769">
        <w:rPr>
          <w:rFonts w:eastAsia="Times New Roman" w:cs="Times New Roman"/>
          <w:szCs w:val="24"/>
          <w:lang w:eastAsia="ru-RU"/>
        </w:rPr>
        <w:t xml:space="preserve">. Это социально-психологический феномен, который сам по себе удивительно интересен и заслуживает тщательного изучения. </w:t>
      </w:r>
    </w:p>
    <w:p w:rsidR="002E393F" w:rsidRPr="002E393F" w:rsidRDefault="00A46071" w:rsidP="001F1BFA">
      <w:pPr>
        <w:spacing w:line="276" w:lineRule="auto"/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Для измерения </w:t>
      </w:r>
      <w:r w:rsidR="001F1BFA">
        <w:rPr>
          <w:rFonts w:eastAsia="Times New Roman" w:cs="Times New Roman"/>
          <w:szCs w:val="24"/>
          <w:lang w:eastAsia="ru-RU"/>
        </w:rPr>
        <w:t xml:space="preserve">социального </w:t>
      </w:r>
      <w:r>
        <w:rPr>
          <w:rFonts w:eastAsia="Times New Roman" w:cs="Times New Roman"/>
          <w:szCs w:val="24"/>
          <w:lang w:eastAsia="ru-RU"/>
        </w:rPr>
        <w:t xml:space="preserve">оптимизма </w:t>
      </w:r>
      <w:r w:rsidRPr="00A46071">
        <w:rPr>
          <w:rFonts w:eastAsia="Times New Roman" w:cs="Times New Roman"/>
          <w:szCs w:val="24"/>
          <w:lang w:eastAsia="ru-RU"/>
        </w:rPr>
        <w:t xml:space="preserve">Институт общественного </w:t>
      </w:r>
      <w:r w:rsidRPr="00B82D20">
        <w:rPr>
          <w:rFonts w:eastAsia="Times New Roman" w:cs="Times New Roman"/>
          <w:szCs w:val="24"/>
          <w:lang w:eastAsia="ru-RU"/>
        </w:rPr>
        <w:t>мнения «</w:t>
      </w:r>
      <w:r>
        <w:rPr>
          <w:rFonts w:eastAsia="Times New Roman" w:cs="Times New Roman"/>
          <w:szCs w:val="24"/>
          <w:lang w:eastAsia="ru-RU"/>
        </w:rPr>
        <w:t>К</w:t>
      </w:r>
      <w:r w:rsidRPr="00B82D20">
        <w:rPr>
          <w:rFonts w:eastAsia="Times New Roman" w:cs="Times New Roman"/>
          <w:szCs w:val="24"/>
          <w:lang w:eastAsia="ru-RU"/>
        </w:rPr>
        <w:t>валитас»</w:t>
      </w:r>
      <w:r>
        <w:rPr>
          <w:rFonts w:eastAsia="Times New Roman" w:cs="Times New Roman"/>
          <w:szCs w:val="24"/>
          <w:lang w:eastAsia="ru-RU"/>
        </w:rPr>
        <w:t xml:space="preserve"> в</w:t>
      </w:r>
      <w:r w:rsidR="009E0DFE" w:rsidRPr="00A46071">
        <w:rPr>
          <w:rFonts w:eastAsia="Times New Roman" w:cs="Times New Roman"/>
          <w:szCs w:val="24"/>
          <w:lang w:eastAsia="ru-RU"/>
        </w:rPr>
        <w:t xml:space="preserve"> декабре 2016 года </w:t>
      </w:r>
      <w:r w:rsidR="009E0DFE">
        <w:rPr>
          <w:rFonts w:eastAsia="Times New Roman" w:cs="Times New Roman"/>
          <w:szCs w:val="24"/>
          <w:lang w:eastAsia="ru-RU"/>
        </w:rPr>
        <w:t>обратился к воронежцам с вопросом</w:t>
      </w:r>
      <w:r w:rsidR="001F1BFA">
        <w:rPr>
          <w:rFonts w:eastAsia="Times New Roman" w:cs="Times New Roman"/>
          <w:szCs w:val="24"/>
          <w:lang w:eastAsia="ru-RU"/>
        </w:rPr>
        <w:t xml:space="preserve">: </w:t>
      </w:r>
      <w:r w:rsidR="002E393F">
        <w:rPr>
          <w:rFonts w:eastAsia="Calibri" w:cs="Times New Roman"/>
          <w:szCs w:val="24"/>
        </w:rPr>
        <w:t xml:space="preserve"> «</w:t>
      </w:r>
      <w:r w:rsidR="002E393F" w:rsidRPr="005D7BAB">
        <w:rPr>
          <w:rFonts w:eastAsia="Times New Roman" w:cs="Times New Roman"/>
          <w:b/>
          <w:i/>
          <w:szCs w:val="24"/>
          <w:lang w:eastAsia="ru-RU"/>
        </w:rPr>
        <w:t>Как Вы полагаете, наступающий год будет для России в целом лучше,</w:t>
      </w:r>
      <w:r w:rsidR="002E393F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2E393F" w:rsidRPr="005D7BAB">
        <w:rPr>
          <w:rFonts w:eastAsia="Times New Roman" w:cs="Times New Roman"/>
          <w:b/>
          <w:i/>
          <w:szCs w:val="24"/>
          <w:lang w:eastAsia="ru-RU"/>
        </w:rPr>
        <w:t>хуже или таким же, как уходящий?</w:t>
      </w:r>
      <w:r w:rsidR="002E393F">
        <w:rPr>
          <w:rFonts w:eastAsia="Times New Roman" w:cs="Times New Roman"/>
          <w:b/>
          <w:i/>
          <w:szCs w:val="24"/>
          <w:lang w:eastAsia="ru-RU"/>
        </w:rPr>
        <w:t>»</w:t>
      </w:r>
      <w:r w:rsidR="001F1BFA">
        <w:rPr>
          <w:rFonts w:eastAsia="Times New Roman" w:cs="Times New Roman"/>
          <w:szCs w:val="24"/>
          <w:lang w:eastAsia="ru-RU"/>
        </w:rPr>
        <w:t>. Были получены ответы:</w:t>
      </w:r>
      <w:r w:rsidR="002E393F">
        <w:rPr>
          <w:rFonts w:eastAsia="Times New Roman" w:cs="Times New Roman"/>
          <w:szCs w:val="24"/>
          <w:lang w:eastAsia="ru-RU"/>
        </w:rPr>
        <w:t xml:space="preserve">  лучше – 56%, хуже – 16%, таким же – 19%, затрудняюсь ответить – 9%.  </w:t>
      </w:r>
    </w:p>
    <w:p w:rsidR="002E393F" w:rsidRDefault="002E393F" w:rsidP="004E27A3">
      <w:pPr>
        <w:spacing w:line="276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Как видим, </w:t>
      </w:r>
      <w:r w:rsidR="008107A3">
        <w:rPr>
          <w:rFonts w:eastAsia="Calibri" w:cs="Times New Roman"/>
          <w:szCs w:val="24"/>
        </w:rPr>
        <w:t>в</w:t>
      </w:r>
      <w:r w:rsidRPr="005D7BAB">
        <w:rPr>
          <w:rFonts w:eastAsia="Calibri" w:cs="Times New Roman"/>
          <w:szCs w:val="24"/>
        </w:rPr>
        <w:t xml:space="preserve"> социальном прогнозе уверенно превалирует надежда на лучшее будущее (</w:t>
      </w:r>
      <w:r w:rsidRPr="005D7BAB">
        <w:rPr>
          <w:rFonts w:eastAsia="Calibri" w:cs="Times New Roman"/>
          <w:b/>
          <w:szCs w:val="24"/>
        </w:rPr>
        <w:t>56%</w:t>
      </w:r>
      <w:r w:rsidRPr="005D7BAB">
        <w:rPr>
          <w:rFonts w:eastAsia="Calibri" w:cs="Times New Roman"/>
          <w:szCs w:val="24"/>
        </w:rPr>
        <w:t>), в три с половиной раза превышая негативные ожидания (</w:t>
      </w:r>
      <w:r w:rsidRPr="005D7BAB">
        <w:rPr>
          <w:rFonts w:eastAsia="Calibri" w:cs="Times New Roman"/>
          <w:b/>
          <w:szCs w:val="24"/>
        </w:rPr>
        <w:t>16%</w:t>
      </w:r>
      <w:r w:rsidRPr="005D7BAB">
        <w:rPr>
          <w:rFonts w:eastAsia="Calibri" w:cs="Times New Roman"/>
          <w:szCs w:val="24"/>
        </w:rPr>
        <w:t xml:space="preserve">).  Оптимистичнее всего настроены молодые и богатые люди. Не ожидают каких-либо изменений для России в наступающем году </w:t>
      </w:r>
      <w:r w:rsidR="008107A3">
        <w:rPr>
          <w:rFonts w:eastAsia="Calibri" w:cs="Times New Roman"/>
          <w:szCs w:val="24"/>
        </w:rPr>
        <w:t xml:space="preserve">только </w:t>
      </w:r>
      <w:r w:rsidRPr="005D7BAB">
        <w:rPr>
          <w:rFonts w:eastAsia="Calibri" w:cs="Times New Roman"/>
          <w:b/>
          <w:szCs w:val="24"/>
        </w:rPr>
        <w:t>19%</w:t>
      </w:r>
      <w:r w:rsidRPr="005D7BAB">
        <w:rPr>
          <w:rFonts w:eastAsia="Calibri" w:cs="Times New Roman"/>
          <w:szCs w:val="24"/>
        </w:rPr>
        <w:t xml:space="preserve"> жителей города.</w:t>
      </w:r>
    </w:p>
    <w:p w:rsidR="00D3483A" w:rsidRDefault="00D3483A" w:rsidP="004E27A3">
      <w:pPr>
        <w:spacing w:line="276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Если сравнить социальные прогнозы, то можно заметить, что вот уже </w:t>
      </w:r>
      <w:r w:rsidRPr="005D7BAB">
        <w:rPr>
          <w:rFonts w:eastAsia="Times New Roman" w:cs="Times New Roman"/>
          <w:szCs w:val="24"/>
          <w:lang w:eastAsia="ru-RU"/>
        </w:rPr>
        <w:t xml:space="preserve">восьмой год подряд начиная с 2009 г. позитивные </w:t>
      </w:r>
      <w:r w:rsidR="004E27A3">
        <w:rPr>
          <w:rFonts w:eastAsia="Times New Roman" w:cs="Times New Roman"/>
          <w:szCs w:val="24"/>
          <w:lang w:eastAsia="ru-RU"/>
        </w:rPr>
        <w:t>прогнозы</w:t>
      </w:r>
      <w:r w:rsidRPr="005D7BAB">
        <w:rPr>
          <w:rFonts w:eastAsia="Times New Roman" w:cs="Times New Roman"/>
          <w:szCs w:val="24"/>
          <w:lang w:eastAsia="ru-RU"/>
        </w:rPr>
        <w:t xml:space="preserve"> </w:t>
      </w:r>
      <w:r w:rsidR="004E27A3">
        <w:rPr>
          <w:rFonts w:eastAsia="Times New Roman" w:cs="Times New Roman"/>
          <w:szCs w:val="24"/>
          <w:lang w:eastAsia="ru-RU"/>
        </w:rPr>
        <w:t xml:space="preserve">по поводу </w:t>
      </w:r>
      <w:r w:rsidRPr="005D7BAB">
        <w:rPr>
          <w:rFonts w:eastAsia="Times New Roman" w:cs="Times New Roman"/>
          <w:szCs w:val="24"/>
          <w:lang w:eastAsia="ru-RU"/>
        </w:rPr>
        <w:t xml:space="preserve">следующего </w:t>
      </w:r>
      <w:r w:rsidR="004E27A3" w:rsidRPr="005D7BAB">
        <w:rPr>
          <w:rFonts w:eastAsia="Times New Roman" w:cs="Times New Roman"/>
          <w:szCs w:val="24"/>
          <w:lang w:eastAsia="ru-RU"/>
        </w:rPr>
        <w:t xml:space="preserve">для России </w:t>
      </w:r>
      <w:r w:rsidRPr="005D7BAB">
        <w:rPr>
          <w:rFonts w:eastAsia="Times New Roman" w:cs="Times New Roman"/>
          <w:szCs w:val="24"/>
          <w:lang w:eastAsia="ru-RU"/>
        </w:rPr>
        <w:t xml:space="preserve">года держат верх </w:t>
      </w:r>
      <w:proofErr w:type="gramStart"/>
      <w:r w:rsidRPr="005D7BAB">
        <w:rPr>
          <w:rFonts w:eastAsia="Times New Roman" w:cs="Times New Roman"/>
          <w:szCs w:val="24"/>
          <w:lang w:eastAsia="ru-RU"/>
        </w:rPr>
        <w:t>над</w:t>
      </w:r>
      <w:proofErr w:type="gramEnd"/>
      <w:r w:rsidRPr="005D7BAB">
        <w:rPr>
          <w:rFonts w:eastAsia="Times New Roman" w:cs="Times New Roman"/>
          <w:szCs w:val="24"/>
          <w:lang w:eastAsia="ru-RU"/>
        </w:rPr>
        <w:t xml:space="preserve"> негативными</w:t>
      </w:r>
      <w:r>
        <w:rPr>
          <w:rFonts w:eastAsia="Times New Roman" w:cs="Times New Roman"/>
          <w:szCs w:val="24"/>
          <w:lang w:eastAsia="ru-RU"/>
        </w:rPr>
        <w:t xml:space="preserve"> (см. график 2)</w:t>
      </w:r>
      <w:r w:rsidRPr="005D7BAB">
        <w:rPr>
          <w:rFonts w:eastAsia="Times New Roman" w:cs="Times New Roman"/>
          <w:szCs w:val="24"/>
          <w:lang w:eastAsia="ru-RU"/>
        </w:rPr>
        <w:t>.</w:t>
      </w:r>
    </w:p>
    <w:p w:rsidR="00D3483A" w:rsidRDefault="00D3483A" w:rsidP="00D3483A">
      <w:pPr>
        <w:ind w:firstLine="567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График 2</w:t>
      </w:r>
    </w:p>
    <w:p w:rsidR="00D3483A" w:rsidRPr="005D7BAB" w:rsidRDefault="00D3483A" w:rsidP="00D3483A">
      <w:pPr>
        <w:ind w:firstLine="539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D7BAB">
        <w:rPr>
          <w:rFonts w:eastAsia="Times New Roman" w:cs="Times New Roman"/>
          <w:b/>
          <w:i/>
          <w:szCs w:val="24"/>
          <w:lang w:eastAsia="ru-RU"/>
        </w:rPr>
        <w:t xml:space="preserve">Как Вы полагаете, наступающий год будет для России в целом лучше, </w:t>
      </w:r>
    </w:p>
    <w:p w:rsidR="00D3483A" w:rsidRDefault="00D3483A" w:rsidP="00D3483A">
      <w:pPr>
        <w:ind w:firstLine="539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D7BAB">
        <w:rPr>
          <w:rFonts w:eastAsia="Times New Roman" w:cs="Times New Roman"/>
          <w:b/>
          <w:i/>
          <w:szCs w:val="24"/>
          <w:lang w:eastAsia="ru-RU"/>
        </w:rPr>
        <w:t xml:space="preserve">хуже или таким же, как </w:t>
      </w:r>
      <w:proofErr w:type="gramStart"/>
      <w:r w:rsidRPr="005D7BAB">
        <w:rPr>
          <w:rFonts w:eastAsia="Times New Roman" w:cs="Times New Roman"/>
          <w:b/>
          <w:i/>
          <w:szCs w:val="24"/>
          <w:lang w:eastAsia="ru-RU"/>
        </w:rPr>
        <w:t>уходящий</w:t>
      </w:r>
      <w:proofErr w:type="gramEnd"/>
      <w:r w:rsidRPr="005D7BAB">
        <w:rPr>
          <w:rFonts w:eastAsia="Times New Roman" w:cs="Times New Roman"/>
          <w:b/>
          <w:i/>
          <w:szCs w:val="24"/>
          <w:lang w:eastAsia="ru-RU"/>
        </w:rPr>
        <w:t>?</w:t>
      </w:r>
    </w:p>
    <w:p w:rsidR="00D3483A" w:rsidRPr="005D7BAB" w:rsidRDefault="00D3483A" w:rsidP="00D3483A">
      <w:pPr>
        <w:ind w:firstLine="539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D3483A" w:rsidRPr="005D7BAB" w:rsidRDefault="00D3483A" w:rsidP="00D3483A">
      <w:pPr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  <w:r w:rsidRPr="005D7BAB">
        <w:rPr>
          <w:rFonts w:eastAsia="Times New Roman" w:cs="Times New Roman"/>
          <w:b/>
          <w:i/>
          <w:noProof/>
          <w:szCs w:val="24"/>
          <w:lang w:eastAsia="ru-RU"/>
        </w:rPr>
        <w:drawing>
          <wp:inline distT="0" distB="0" distL="0" distR="0" wp14:anchorId="4A0368AD" wp14:editId="7FD3A024">
            <wp:extent cx="5981700" cy="2419350"/>
            <wp:effectExtent l="0" t="0" r="19050" b="1905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483A" w:rsidRPr="005D7BAB" w:rsidRDefault="00D3483A" w:rsidP="00D3483A">
      <w:pPr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</w:p>
    <w:p w:rsidR="00D3483A" w:rsidRDefault="00D3483A" w:rsidP="004E27A3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Cs w:val="24"/>
          <w:lang w:eastAsia="ru-RU"/>
        </w:rPr>
      </w:pPr>
      <w:r w:rsidRPr="005D7BAB">
        <w:rPr>
          <w:rFonts w:eastAsia="Times New Roman" w:cs="Times New Roman"/>
          <w:szCs w:val="24"/>
          <w:lang w:eastAsia="ru-RU"/>
        </w:rPr>
        <w:t xml:space="preserve">По отношению к прошлому </w:t>
      </w:r>
      <w:r>
        <w:rPr>
          <w:rFonts w:eastAsia="Times New Roman" w:cs="Times New Roman"/>
          <w:szCs w:val="24"/>
          <w:lang w:eastAsia="ru-RU"/>
        </w:rPr>
        <w:t>замеру (2015 г.)</w:t>
      </w:r>
      <w:r w:rsidRPr="005D7BAB">
        <w:rPr>
          <w:rFonts w:eastAsia="Times New Roman" w:cs="Times New Roman"/>
          <w:szCs w:val="24"/>
          <w:lang w:eastAsia="ru-RU"/>
        </w:rPr>
        <w:t xml:space="preserve"> позитивные оценки выросли с </w:t>
      </w:r>
      <w:r w:rsidRPr="005D7BAB">
        <w:rPr>
          <w:rFonts w:eastAsia="Times New Roman" w:cs="Times New Roman"/>
          <w:b/>
          <w:szCs w:val="24"/>
          <w:lang w:eastAsia="ru-RU"/>
        </w:rPr>
        <w:t>40</w:t>
      </w:r>
      <w:r w:rsidRPr="005D7BAB">
        <w:rPr>
          <w:rFonts w:eastAsia="Times New Roman" w:cs="Times New Roman"/>
          <w:szCs w:val="24"/>
          <w:lang w:eastAsia="ru-RU"/>
        </w:rPr>
        <w:t xml:space="preserve">% до </w:t>
      </w:r>
      <w:r w:rsidRPr="005D7BAB">
        <w:rPr>
          <w:rFonts w:eastAsia="Times New Roman" w:cs="Times New Roman"/>
          <w:b/>
          <w:szCs w:val="24"/>
          <w:lang w:eastAsia="ru-RU"/>
        </w:rPr>
        <w:t>56</w:t>
      </w:r>
      <w:r w:rsidRPr="005D7BAB">
        <w:rPr>
          <w:rFonts w:eastAsia="Times New Roman" w:cs="Times New Roman"/>
          <w:szCs w:val="24"/>
          <w:lang w:eastAsia="ru-RU"/>
        </w:rPr>
        <w:t xml:space="preserve">%, а негативные сократились с </w:t>
      </w:r>
      <w:r w:rsidRPr="005D7BAB">
        <w:rPr>
          <w:rFonts w:eastAsia="Times New Roman" w:cs="Times New Roman"/>
          <w:b/>
          <w:szCs w:val="24"/>
          <w:lang w:eastAsia="ru-RU"/>
        </w:rPr>
        <w:t>24%</w:t>
      </w:r>
      <w:r w:rsidRPr="005D7BAB">
        <w:rPr>
          <w:rFonts w:eastAsia="Times New Roman" w:cs="Times New Roman"/>
          <w:szCs w:val="24"/>
          <w:lang w:eastAsia="ru-RU"/>
        </w:rPr>
        <w:t xml:space="preserve"> до </w:t>
      </w:r>
      <w:r w:rsidRPr="005D7BAB">
        <w:rPr>
          <w:rFonts w:eastAsia="Times New Roman" w:cs="Times New Roman"/>
          <w:b/>
          <w:szCs w:val="24"/>
          <w:lang w:eastAsia="ru-RU"/>
        </w:rPr>
        <w:t>16%</w:t>
      </w:r>
      <w:r w:rsidRPr="005D7BAB">
        <w:rPr>
          <w:rFonts w:eastAsia="Times New Roman" w:cs="Times New Roman"/>
          <w:szCs w:val="24"/>
          <w:lang w:eastAsia="ru-RU"/>
        </w:rPr>
        <w:t xml:space="preserve">. Иными словами, </w:t>
      </w:r>
      <w:r>
        <w:rPr>
          <w:rFonts w:eastAsia="Times New Roman" w:cs="Times New Roman"/>
          <w:szCs w:val="24"/>
          <w:lang w:eastAsia="ru-RU"/>
        </w:rPr>
        <w:t>ожидания населения на 2017 год весьма позитивны. Пожалуй, за все время измерения (около двадцати лет) никогда не было такого оптимистического прогноза на наступающий год</w:t>
      </w:r>
      <w:r w:rsidR="008F723B">
        <w:rPr>
          <w:rFonts w:eastAsia="Times New Roman" w:cs="Times New Roman"/>
          <w:szCs w:val="24"/>
          <w:lang w:eastAsia="ru-RU"/>
        </w:rPr>
        <w:t xml:space="preserve">, какой получил приходящий 2017 г. </w:t>
      </w:r>
    </w:p>
    <w:p w:rsidR="007C5E76" w:rsidRDefault="007C5E76" w:rsidP="004E27A3">
      <w:pPr>
        <w:spacing w:line="276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При сравнении социальных прогнозов</w:t>
      </w:r>
      <w:r w:rsidR="008F723B">
        <w:rPr>
          <w:rFonts w:eastAsia="Calibri" w:cs="Times New Roman"/>
          <w:szCs w:val="24"/>
        </w:rPr>
        <w:t xml:space="preserve"> на предстоящий год</w:t>
      </w:r>
      <w:r>
        <w:rPr>
          <w:rFonts w:eastAsia="Calibri" w:cs="Times New Roman"/>
          <w:szCs w:val="24"/>
        </w:rPr>
        <w:t xml:space="preserve"> </w:t>
      </w:r>
      <w:r w:rsidR="008F723B">
        <w:rPr>
          <w:rFonts w:eastAsia="Calibri" w:cs="Times New Roman"/>
          <w:szCs w:val="24"/>
        </w:rPr>
        <w:t>и оцен</w:t>
      </w:r>
      <w:r>
        <w:rPr>
          <w:rFonts w:eastAsia="Calibri" w:cs="Times New Roman"/>
          <w:szCs w:val="24"/>
        </w:rPr>
        <w:t xml:space="preserve">ок </w:t>
      </w:r>
      <w:r w:rsidR="008F723B">
        <w:rPr>
          <w:rFonts w:eastAsia="Calibri" w:cs="Times New Roman"/>
          <w:szCs w:val="24"/>
        </w:rPr>
        <w:t xml:space="preserve">по итогам уходящего года, </w:t>
      </w:r>
      <w:r>
        <w:rPr>
          <w:rFonts w:eastAsia="Calibri" w:cs="Times New Roman"/>
          <w:szCs w:val="24"/>
        </w:rPr>
        <w:t>также убеждаемся</w:t>
      </w:r>
      <w:r w:rsidR="008F723B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что</w:t>
      </w:r>
      <w:r w:rsidR="008F723B">
        <w:rPr>
          <w:rFonts w:eastAsia="Calibri" w:cs="Times New Roman"/>
          <w:szCs w:val="24"/>
        </w:rPr>
        <w:t xml:space="preserve"> прогнозы </w:t>
      </w:r>
      <w:r w:rsidR="00601705">
        <w:rPr>
          <w:rFonts w:eastAsia="Calibri" w:cs="Times New Roman"/>
          <w:szCs w:val="24"/>
        </w:rPr>
        <w:t xml:space="preserve">обычно </w:t>
      </w:r>
      <w:r w:rsidR="008F723B">
        <w:rPr>
          <w:rFonts w:eastAsia="Calibri" w:cs="Times New Roman"/>
          <w:szCs w:val="24"/>
        </w:rPr>
        <w:t xml:space="preserve">позитивнее итоговой оценки (таблица </w:t>
      </w:r>
      <w:r>
        <w:rPr>
          <w:rFonts w:eastAsia="Calibri" w:cs="Times New Roman"/>
          <w:szCs w:val="24"/>
        </w:rPr>
        <w:t>2</w:t>
      </w:r>
      <w:r w:rsidR="008F723B">
        <w:rPr>
          <w:rFonts w:eastAsia="Calibri" w:cs="Times New Roman"/>
          <w:szCs w:val="24"/>
        </w:rPr>
        <w:t xml:space="preserve">). То есть ожидания населения, что </w:t>
      </w:r>
      <w:r w:rsidR="00601705">
        <w:rPr>
          <w:rFonts w:eastAsia="Calibri" w:cs="Times New Roman"/>
          <w:szCs w:val="24"/>
        </w:rPr>
        <w:t xml:space="preserve">в наступающем году страна будет жить лучше, как правило, не оправдываются. Но большая часть населения упрямо надеется, что в следующем году ситуация изменится к лучшему.  </w:t>
      </w:r>
      <w:r w:rsidR="004E27A3">
        <w:rPr>
          <w:rFonts w:eastAsia="Calibri" w:cs="Times New Roman"/>
          <w:szCs w:val="24"/>
        </w:rPr>
        <w:t>Неоправданные ожидания не уменьшают социального оптимизма.</w:t>
      </w:r>
    </w:p>
    <w:p w:rsidR="007C5E76" w:rsidRDefault="007C5E76" w:rsidP="007C5E76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bCs/>
          <w:spacing w:val="-4"/>
          <w:szCs w:val="24"/>
          <w:lang w:eastAsia="ru-RU"/>
        </w:rPr>
      </w:pPr>
      <w:r w:rsidRPr="002E30F9">
        <w:rPr>
          <w:rFonts w:eastAsia="Times New Roman" w:cs="Arial"/>
          <w:bCs/>
          <w:spacing w:val="-4"/>
          <w:szCs w:val="24"/>
          <w:lang w:eastAsia="ru-RU"/>
        </w:rPr>
        <w:t>Таблица 2</w:t>
      </w:r>
    </w:p>
    <w:p w:rsidR="007C5E76" w:rsidRPr="00E331BA" w:rsidRDefault="007C5E76" w:rsidP="007C5E76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bCs/>
          <w:i/>
          <w:spacing w:val="-4"/>
          <w:szCs w:val="24"/>
          <w:lang w:eastAsia="ru-RU"/>
        </w:rPr>
      </w:pPr>
      <w:r>
        <w:rPr>
          <w:rFonts w:eastAsia="Times New Roman" w:cs="Arial"/>
          <w:b/>
          <w:bCs/>
          <w:i/>
          <w:spacing w:val="-4"/>
          <w:szCs w:val="24"/>
          <w:lang w:eastAsia="ru-RU"/>
        </w:rPr>
        <w:t xml:space="preserve">Социальные </w:t>
      </w:r>
      <w:r w:rsidRPr="00E331BA">
        <w:rPr>
          <w:rFonts w:eastAsia="Times New Roman" w:cs="Arial"/>
          <w:b/>
          <w:bCs/>
          <w:i/>
          <w:spacing w:val="-4"/>
          <w:szCs w:val="24"/>
          <w:lang w:eastAsia="ru-RU"/>
        </w:rPr>
        <w:t>прогнозы и итоги прошедших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276"/>
        <w:gridCol w:w="1276"/>
        <w:gridCol w:w="1134"/>
        <w:gridCol w:w="1134"/>
        <w:gridCol w:w="1099"/>
      </w:tblGrid>
      <w:tr w:rsidR="007C5E76" w:rsidTr="00136A97">
        <w:tc>
          <w:tcPr>
            <w:tcW w:w="1668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proofErr w:type="gramStart"/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Лучше/хуже</w:t>
            </w:r>
            <w:proofErr w:type="gramEnd"/>
          </w:p>
        </w:tc>
        <w:tc>
          <w:tcPr>
            <w:tcW w:w="1275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2010 год</w:t>
            </w:r>
          </w:p>
        </w:tc>
        <w:tc>
          <w:tcPr>
            <w:tcW w:w="1276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2011 год</w:t>
            </w:r>
          </w:p>
        </w:tc>
        <w:tc>
          <w:tcPr>
            <w:tcW w:w="1276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2012 год</w:t>
            </w:r>
          </w:p>
        </w:tc>
        <w:tc>
          <w:tcPr>
            <w:tcW w:w="1276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2015 год</w:t>
            </w:r>
          </w:p>
        </w:tc>
        <w:tc>
          <w:tcPr>
            <w:tcW w:w="1099" w:type="dxa"/>
          </w:tcPr>
          <w:p w:rsidR="007C5E76" w:rsidRDefault="007C5E7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2016 год</w:t>
            </w:r>
          </w:p>
        </w:tc>
      </w:tr>
      <w:tr w:rsidR="007C5E76" w:rsidTr="00136A97">
        <w:tc>
          <w:tcPr>
            <w:tcW w:w="1668" w:type="dxa"/>
          </w:tcPr>
          <w:p w:rsidR="007C5E76" w:rsidRPr="00440CF2" w:rsidRDefault="007C5E76" w:rsidP="00136A97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i/>
                <w:spacing w:val="-4"/>
                <w:szCs w:val="24"/>
                <w:lang w:eastAsia="ru-RU"/>
              </w:rPr>
            </w:pPr>
            <w:r w:rsidRPr="00440CF2">
              <w:rPr>
                <w:rFonts w:eastAsia="Times New Roman" w:cs="Arial"/>
                <w:bCs/>
                <w:i/>
                <w:spacing w:val="-4"/>
                <w:szCs w:val="24"/>
                <w:lang w:eastAsia="ru-RU"/>
              </w:rPr>
              <w:t>прогноз</w:t>
            </w:r>
          </w:p>
        </w:tc>
        <w:tc>
          <w:tcPr>
            <w:tcW w:w="1275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38/19</w:t>
            </w:r>
          </w:p>
        </w:tc>
        <w:tc>
          <w:tcPr>
            <w:tcW w:w="1276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40/19</w:t>
            </w:r>
          </w:p>
        </w:tc>
        <w:tc>
          <w:tcPr>
            <w:tcW w:w="1276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38/20</w:t>
            </w:r>
          </w:p>
        </w:tc>
        <w:tc>
          <w:tcPr>
            <w:tcW w:w="1276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50/18</w:t>
            </w:r>
          </w:p>
        </w:tc>
        <w:tc>
          <w:tcPr>
            <w:tcW w:w="1134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42/24</w:t>
            </w:r>
          </w:p>
        </w:tc>
        <w:tc>
          <w:tcPr>
            <w:tcW w:w="1134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42/38</w:t>
            </w:r>
          </w:p>
        </w:tc>
        <w:tc>
          <w:tcPr>
            <w:tcW w:w="1099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40/25</w:t>
            </w:r>
          </w:p>
        </w:tc>
      </w:tr>
      <w:tr w:rsidR="007C5E76" w:rsidTr="00136A97">
        <w:tc>
          <w:tcPr>
            <w:tcW w:w="1668" w:type="dxa"/>
          </w:tcPr>
          <w:p w:rsidR="007C5E76" w:rsidRPr="00440CF2" w:rsidRDefault="007C5E76" w:rsidP="00136A97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i/>
                <w:spacing w:val="-4"/>
                <w:szCs w:val="24"/>
                <w:lang w:eastAsia="ru-RU"/>
              </w:rPr>
            </w:pPr>
            <w:r w:rsidRPr="00440CF2">
              <w:rPr>
                <w:rFonts w:eastAsia="Times New Roman" w:cs="Arial"/>
                <w:bCs/>
                <w:i/>
                <w:spacing w:val="-4"/>
                <w:szCs w:val="24"/>
                <w:lang w:eastAsia="ru-RU"/>
              </w:rPr>
              <w:t>итог</w:t>
            </w:r>
          </w:p>
        </w:tc>
        <w:tc>
          <w:tcPr>
            <w:tcW w:w="1275" w:type="dxa"/>
          </w:tcPr>
          <w:p w:rsidR="007C5E76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24/27</w:t>
            </w:r>
          </w:p>
        </w:tc>
        <w:tc>
          <w:tcPr>
            <w:tcW w:w="1276" w:type="dxa"/>
          </w:tcPr>
          <w:p w:rsidR="007C5E76" w:rsidRPr="006C79C2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</w:pPr>
            <w:r w:rsidRPr="006C79C2"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  <w:t>25/14</w:t>
            </w:r>
          </w:p>
        </w:tc>
        <w:tc>
          <w:tcPr>
            <w:tcW w:w="1276" w:type="dxa"/>
          </w:tcPr>
          <w:p w:rsidR="007C5E76" w:rsidRPr="006C79C2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</w:pPr>
            <w:r w:rsidRPr="006C79C2"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  <w:t>37/17</w:t>
            </w:r>
          </w:p>
        </w:tc>
        <w:tc>
          <w:tcPr>
            <w:tcW w:w="1276" w:type="dxa"/>
          </w:tcPr>
          <w:p w:rsidR="007C5E76" w:rsidRPr="006C79C2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</w:pPr>
            <w:r w:rsidRPr="006C79C2"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  <w:t>27/25</w:t>
            </w:r>
          </w:p>
        </w:tc>
        <w:tc>
          <w:tcPr>
            <w:tcW w:w="1134" w:type="dxa"/>
          </w:tcPr>
          <w:p w:rsidR="007C5E76" w:rsidRPr="002E30F9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32/41</w:t>
            </w:r>
          </w:p>
        </w:tc>
        <w:tc>
          <w:tcPr>
            <w:tcW w:w="1134" w:type="dxa"/>
          </w:tcPr>
          <w:p w:rsidR="007C5E76" w:rsidRPr="002E30F9" w:rsidRDefault="002E30F9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21/48</w:t>
            </w:r>
          </w:p>
        </w:tc>
        <w:tc>
          <w:tcPr>
            <w:tcW w:w="1099" w:type="dxa"/>
          </w:tcPr>
          <w:p w:rsidR="007C5E76" w:rsidRPr="002E30F9" w:rsidRDefault="00C17396" w:rsidP="00136A97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21/36</w:t>
            </w:r>
          </w:p>
        </w:tc>
      </w:tr>
    </w:tbl>
    <w:p w:rsidR="007C5E76" w:rsidRDefault="007C5E76" w:rsidP="007C5E76">
      <w:pPr>
        <w:autoSpaceDE w:val="0"/>
        <w:autoSpaceDN w:val="0"/>
        <w:adjustRightInd w:val="0"/>
        <w:ind w:firstLine="567"/>
        <w:rPr>
          <w:rFonts w:eastAsia="Times New Roman" w:cs="Arial"/>
          <w:bCs/>
          <w:spacing w:val="-4"/>
          <w:szCs w:val="24"/>
          <w:lang w:eastAsia="ru-RU"/>
        </w:rPr>
      </w:pPr>
    </w:p>
    <w:p w:rsidR="00C17396" w:rsidRPr="006C79C2" w:rsidRDefault="0045142B" w:rsidP="004E27A3">
      <w:pPr>
        <w:spacing w:line="276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Судя по сопоставлению социальных прогнозов и итогов прошедших лет (табл. 2), самыми счастливыми для страны годами были 2011-2013 гг. Позитивные оценки их итогов превалир</w:t>
      </w:r>
      <w:r w:rsidR="00C17396">
        <w:rPr>
          <w:rFonts w:eastAsia="Calibri" w:cs="Times New Roman"/>
          <w:szCs w:val="24"/>
        </w:rPr>
        <w:t>овали</w:t>
      </w:r>
      <w:r>
        <w:rPr>
          <w:rFonts w:eastAsia="Calibri" w:cs="Times New Roman"/>
          <w:szCs w:val="24"/>
        </w:rPr>
        <w:t xml:space="preserve"> </w:t>
      </w:r>
      <w:proofErr w:type="gramStart"/>
      <w:r>
        <w:rPr>
          <w:rFonts w:eastAsia="Calibri" w:cs="Times New Roman"/>
          <w:szCs w:val="24"/>
        </w:rPr>
        <w:t>над</w:t>
      </w:r>
      <w:proofErr w:type="gramEnd"/>
      <w:r>
        <w:rPr>
          <w:rFonts w:eastAsia="Calibri" w:cs="Times New Roman"/>
          <w:szCs w:val="24"/>
        </w:rPr>
        <w:t xml:space="preserve"> негативными. </w:t>
      </w:r>
      <w:r w:rsidR="00C17396">
        <w:rPr>
          <w:rFonts w:eastAsia="Calibri" w:cs="Times New Roman"/>
          <w:szCs w:val="24"/>
        </w:rPr>
        <w:t>А</w:t>
      </w:r>
      <w:r w:rsidR="004E27A3">
        <w:rPr>
          <w:rFonts w:eastAsia="Calibri" w:cs="Times New Roman"/>
          <w:szCs w:val="24"/>
        </w:rPr>
        <w:t xml:space="preserve"> самым плохим годом для страны </w:t>
      </w:r>
      <w:r w:rsidR="00C17396">
        <w:rPr>
          <w:rFonts w:eastAsia="Calibri" w:cs="Times New Roman"/>
          <w:szCs w:val="24"/>
        </w:rPr>
        <w:t xml:space="preserve">за рассматриваемый период был 2015 год – тогда негативные оценки более чем в два раза превышали </w:t>
      </w:r>
      <w:r w:rsidR="006C79C2">
        <w:rPr>
          <w:rFonts w:eastAsia="Calibri" w:cs="Times New Roman"/>
          <w:szCs w:val="24"/>
        </w:rPr>
        <w:t>позитивные</w:t>
      </w:r>
      <w:r w:rsidR="00C17396" w:rsidRPr="005D7BAB">
        <w:rPr>
          <w:rFonts w:eastAsia="Times New Roman" w:cs="Arial"/>
          <w:bCs/>
          <w:spacing w:val="-4"/>
          <w:szCs w:val="24"/>
          <w:lang w:eastAsia="ru-RU"/>
        </w:rPr>
        <w:t xml:space="preserve"> (48/21). По итогам 2016 года разрыв между отрицательными и положительными оценками  несколько сократился: 36/21. </w:t>
      </w:r>
    </w:p>
    <w:p w:rsidR="004E27A3" w:rsidRPr="000E6103" w:rsidRDefault="004E27A3" w:rsidP="004E27A3">
      <w:pPr>
        <w:spacing w:line="276" w:lineRule="auto"/>
        <w:ind w:firstLine="567"/>
        <w:rPr>
          <w:rFonts w:eastAsia="Times New Roman" w:cs="Times New Roman"/>
          <w:szCs w:val="24"/>
          <w:lang w:eastAsia="ru-RU"/>
        </w:rPr>
      </w:pPr>
      <w:r w:rsidRPr="000E6103">
        <w:rPr>
          <w:rFonts w:eastAsia="Times New Roman" w:cs="Times New Roman"/>
          <w:szCs w:val="24"/>
          <w:lang w:eastAsia="ru-RU"/>
        </w:rPr>
        <w:t xml:space="preserve">Выходит, что </w:t>
      </w:r>
      <w:r w:rsidR="00F86AA7" w:rsidRPr="000E6103">
        <w:rPr>
          <w:rFonts w:eastAsia="Times New Roman" w:cs="Times New Roman"/>
          <w:szCs w:val="24"/>
          <w:lang w:eastAsia="ru-RU"/>
        </w:rPr>
        <w:t>социальный</w:t>
      </w:r>
      <w:r w:rsidR="001F1BFA">
        <w:rPr>
          <w:rFonts w:eastAsia="Times New Roman" w:cs="Times New Roman"/>
          <w:szCs w:val="24"/>
          <w:lang w:eastAsia="ru-RU"/>
        </w:rPr>
        <w:t xml:space="preserve"> прогноз</w:t>
      </w:r>
      <w:r w:rsidR="00945FA8" w:rsidRPr="000E6103">
        <w:rPr>
          <w:rFonts w:eastAsia="Times New Roman" w:cs="Times New Roman"/>
          <w:szCs w:val="24"/>
          <w:lang w:eastAsia="ru-RU"/>
        </w:rPr>
        <w:t>, как правило,  в последние годы исполнен оптимизма. Только два раз</w:t>
      </w:r>
      <w:r w:rsidR="00EE2104" w:rsidRPr="000E6103">
        <w:rPr>
          <w:rFonts w:eastAsia="Times New Roman" w:cs="Times New Roman"/>
          <w:szCs w:val="24"/>
          <w:lang w:eastAsia="ru-RU"/>
        </w:rPr>
        <w:t>а</w:t>
      </w:r>
      <w:r w:rsidR="00945FA8" w:rsidRPr="000E6103">
        <w:rPr>
          <w:rFonts w:eastAsia="Times New Roman" w:cs="Times New Roman"/>
          <w:szCs w:val="24"/>
          <w:lang w:eastAsia="ru-RU"/>
        </w:rPr>
        <w:t xml:space="preserve"> оптимизм уступал пессимизму: в 2004 и 2008 год</w:t>
      </w:r>
      <w:r w:rsidR="00E5710D" w:rsidRPr="000E6103">
        <w:rPr>
          <w:rFonts w:eastAsia="Times New Roman" w:cs="Times New Roman"/>
          <w:szCs w:val="24"/>
          <w:lang w:eastAsia="ru-RU"/>
        </w:rPr>
        <w:t>ах</w:t>
      </w:r>
      <w:r w:rsidR="00945FA8" w:rsidRPr="000E6103">
        <w:rPr>
          <w:rFonts w:eastAsia="Times New Roman" w:cs="Times New Roman"/>
          <w:szCs w:val="24"/>
          <w:lang w:eastAsia="ru-RU"/>
        </w:rPr>
        <w:t>.</w:t>
      </w:r>
      <w:r w:rsidR="00E5710D" w:rsidRPr="000E6103">
        <w:rPr>
          <w:rFonts w:eastAsia="Times New Roman" w:cs="Times New Roman"/>
          <w:szCs w:val="24"/>
          <w:lang w:eastAsia="ru-RU"/>
        </w:rPr>
        <w:t xml:space="preserve"> Сегодня трудно сказать, что послужило причиной этого. Если пессимизм 2008 года можно связать с мировым экономическим кризисом, то в 2004 году выпуклых кризисных явлений не было, но зато были выборы Президента РФ, как впрочем, и в 2008 году. </w:t>
      </w:r>
      <w:r w:rsidR="00F74F8F" w:rsidRPr="000E6103">
        <w:rPr>
          <w:rFonts w:eastAsia="Times New Roman" w:cs="Times New Roman"/>
          <w:szCs w:val="24"/>
          <w:lang w:eastAsia="ru-RU"/>
        </w:rPr>
        <w:t xml:space="preserve">Напрашивается вывод – связать тревожные ожидания со сменой в стране президента, </w:t>
      </w:r>
      <w:r w:rsidR="00B20DF9" w:rsidRPr="000E6103">
        <w:rPr>
          <w:rFonts w:eastAsia="Times New Roman" w:cs="Times New Roman"/>
          <w:szCs w:val="24"/>
          <w:lang w:eastAsia="ru-RU"/>
        </w:rPr>
        <w:t xml:space="preserve">и, возможно, этот вывод наиболее близок к истине, </w:t>
      </w:r>
      <w:r w:rsidR="00B20DF9" w:rsidRPr="000E6103">
        <w:rPr>
          <w:rFonts w:eastAsia="Times New Roman" w:cs="Times New Roman"/>
          <w:szCs w:val="24"/>
          <w:lang w:eastAsia="ru-RU"/>
        </w:rPr>
        <w:lastRenderedPageBreak/>
        <w:t xml:space="preserve">так как прогноз на </w:t>
      </w:r>
      <w:r w:rsidR="00F74F8F" w:rsidRPr="000E6103">
        <w:rPr>
          <w:rFonts w:eastAsia="Times New Roman" w:cs="Times New Roman"/>
          <w:szCs w:val="24"/>
          <w:lang w:eastAsia="ru-RU"/>
        </w:rPr>
        <w:t xml:space="preserve">2012 год </w:t>
      </w:r>
      <w:r w:rsidR="00B20DF9" w:rsidRPr="000E6103">
        <w:rPr>
          <w:rFonts w:eastAsia="Times New Roman" w:cs="Times New Roman"/>
          <w:szCs w:val="24"/>
          <w:lang w:eastAsia="ru-RU"/>
        </w:rPr>
        <w:t xml:space="preserve">был наименее оптимистичный за последние пять лет (38/20). </w:t>
      </w:r>
      <w:r w:rsidR="00945FA8" w:rsidRPr="000E6103">
        <w:rPr>
          <w:rFonts w:eastAsia="Times New Roman" w:cs="Times New Roman"/>
          <w:szCs w:val="24"/>
          <w:lang w:eastAsia="ru-RU"/>
        </w:rPr>
        <w:t xml:space="preserve"> </w:t>
      </w:r>
      <w:r w:rsidR="00EE2104" w:rsidRPr="000E6103">
        <w:rPr>
          <w:rFonts w:eastAsia="Times New Roman" w:cs="Times New Roman"/>
          <w:szCs w:val="24"/>
          <w:lang w:eastAsia="ru-RU"/>
        </w:rPr>
        <w:t xml:space="preserve">Значит, уровень социального оптимизма снижается, а пессимизма повышается, если стране предстоит смена власти.  </w:t>
      </w:r>
    </w:p>
    <w:p w:rsidR="00945FA8" w:rsidRPr="000E6103" w:rsidRDefault="00B20DF9" w:rsidP="004E27A3">
      <w:pPr>
        <w:spacing w:line="276" w:lineRule="auto"/>
        <w:ind w:firstLine="567"/>
        <w:rPr>
          <w:rFonts w:eastAsia="Times New Roman" w:cs="Times New Roman"/>
          <w:szCs w:val="24"/>
          <w:lang w:eastAsia="ru-RU"/>
        </w:rPr>
      </w:pPr>
      <w:r w:rsidRPr="000E6103">
        <w:rPr>
          <w:rFonts w:eastAsia="Times New Roman" w:cs="Times New Roman"/>
          <w:szCs w:val="24"/>
          <w:lang w:eastAsia="ru-RU"/>
        </w:rPr>
        <w:t xml:space="preserve">В итогах года позитивные оценки обыкновенно ниже, чем в прогнозе. </w:t>
      </w:r>
      <w:r w:rsidR="00945FA8" w:rsidRPr="000E6103">
        <w:rPr>
          <w:rFonts w:eastAsia="Times New Roman" w:cs="Times New Roman"/>
          <w:szCs w:val="24"/>
          <w:lang w:eastAsia="ru-RU"/>
        </w:rPr>
        <w:t xml:space="preserve">Фактически всегда позитивные ожидания части населения не оправдываются. Но неоправданные ожидания вовсе не уменьшают социального оптимизма и завышенных ожиданий от следующего года. </w:t>
      </w:r>
      <w:r w:rsidR="003B5E4C" w:rsidRPr="000E6103">
        <w:rPr>
          <w:rFonts w:eastAsia="Times New Roman" w:cs="Times New Roman"/>
          <w:szCs w:val="24"/>
          <w:lang w:eastAsia="ru-RU"/>
        </w:rPr>
        <w:t xml:space="preserve">Самый высокий уровень оптимистических ожиданий за </w:t>
      </w:r>
      <w:proofErr w:type="gramStart"/>
      <w:r w:rsidR="003B5E4C" w:rsidRPr="000E6103">
        <w:rPr>
          <w:rFonts w:eastAsia="Times New Roman" w:cs="Times New Roman"/>
          <w:szCs w:val="24"/>
          <w:lang w:eastAsia="ru-RU"/>
        </w:rPr>
        <w:t>последние</w:t>
      </w:r>
      <w:proofErr w:type="gramEnd"/>
      <w:r w:rsidR="003B5E4C" w:rsidRPr="000E6103">
        <w:rPr>
          <w:rFonts w:eastAsia="Times New Roman" w:cs="Times New Roman"/>
          <w:szCs w:val="24"/>
          <w:lang w:eastAsia="ru-RU"/>
        </w:rPr>
        <w:t xml:space="preserve"> 16 лет связан с наступившим 2017 годом. </w:t>
      </w:r>
    </w:p>
    <w:p w:rsidR="00F03DB2" w:rsidRDefault="001F1BFA" w:rsidP="00F03DB2">
      <w:pPr>
        <w:spacing w:line="276" w:lineRule="auto"/>
        <w:ind w:firstLine="540"/>
        <w:rPr>
          <w:color w:val="333333"/>
        </w:rPr>
      </w:pPr>
      <w:r>
        <w:rPr>
          <w:rFonts w:eastAsia="Calibri" w:cs="Times New Roman"/>
          <w:color w:val="000000"/>
          <w:szCs w:val="24"/>
        </w:rPr>
        <w:t>Озадачивает тот факт</w:t>
      </w:r>
      <w:r w:rsidR="00A4141F">
        <w:rPr>
          <w:rFonts w:eastAsia="Calibri" w:cs="Times New Roman"/>
          <w:color w:val="000000"/>
          <w:szCs w:val="24"/>
        </w:rPr>
        <w:t>, что не обнаружено непосредственной связи между экономической ситуацией в стране и социальным оптимизмом.</w:t>
      </w:r>
      <w:r w:rsidR="00047E29">
        <w:rPr>
          <w:rFonts w:eastAsia="Calibri" w:cs="Times New Roman"/>
          <w:color w:val="000000"/>
          <w:szCs w:val="24"/>
        </w:rPr>
        <w:t xml:space="preserve"> Нынешнюю экономическую ситуацию </w:t>
      </w:r>
      <w:r w:rsidR="00A4141F">
        <w:rPr>
          <w:rFonts w:eastAsia="Calibri" w:cs="Times New Roman"/>
          <w:color w:val="000000"/>
          <w:szCs w:val="24"/>
        </w:rPr>
        <w:t xml:space="preserve"> </w:t>
      </w:r>
      <w:r w:rsidR="00047E29">
        <w:rPr>
          <w:rFonts w:eastAsia="Calibri" w:cs="Times New Roman"/>
          <w:color w:val="000000"/>
          <w:szCs w:val="24"/>
        </w:rPr>
        <w:t xml:space="preserve">нельзя назвать благоприятной, кроме того, налицо политический кризис, тем не менее, социальный оптимизм необычайно высок. На чем он зиждется, в чем его причины? </w:t>
      </w:r>
    </w:p>
    <w:p w:rsidR="00CF3BC8" w:rsidRDefault="00CF3BC8" w:rsidP="00EE2104">
      <w:pPr>
        <w:spacing w:line="276" w:lineRule="auto"/>
        <w:ind w:firstLine="567"/>
        <w:rPr>
          <w:color w:val="333333"/>
        </w:rPr>
      </w:pPr>
      <w:r>
        <w:rPr>
          <w:color w:val="333333"/>
        </w:rPr>
        <w:t>Вера в правильности выбранного пути, пожалуй, даже более веское основание для оптимизма, чем экономика. Верят ли воронежцы, что страна «шагает» верным путем?</w:t>
      </w:r>
    </w:p>
    <w:p w:rsidR="00D22420" w:rsidRPr="00CE659A" w:rsidRDefault="00CF3BC8" w:rsidP="008A0186">
      <w:pPr>
        <w:spacing w:line="276" w:lineRule="auto"/>
        <w:ind w:firstLine="567"/>
        <w:rPr>
          <w:rFonts w:eastAsia="Times New Roman" w:cs="Times New Roman"/>
          <w:szCs w:val="24"/>
          <w:lang w:eastAsia="ru-RU"/>
        </w:rPr>
      </w:pPr>
      <w:r w:rsidRPr="008A0186">
        <w:rPr>
          <w:rFonts w:eastAsia="Calibri" w:cs="Times New Roman"/>
          <w:szCs w:val="24"/>
        </w:rPr>
        <w:t xml:space="preserve">Оказывается, да. </w:t>
      </w:r>
      <w:r w:rsidR="00D22420" w:rsidRPr="008A0186">
        <w:rPr>
          <w:rFonts w:eastAsia="Times New Roman" w:cs="Times New Roman"/>
          <w:szCs w:val="24"/>
          <w:lang w:eastAsia="ru-RU"/>
        </w:rPr>
        <w:t xml:space="preserve">Большинство </w:t>
      </w:r>
      <w:r w:rsidR="00D22420" w:rsidRPr="00CE659A">
        <w:rPr>
          <w:rFonts w:eastAsia="Times New Roman" w:cs="Times New Roman"/>
          <w:szCs w:val="24"/>
          <w:lang w:eastAsia="ru-RU"/>
        </w:rPr>
        <w:t>воронежцев разделяет убеждение, что выбранный страной путь в принципе верен, хотя улучшения пока не видно (</w:t>
      </w:r>
      <w:r w:rsidR="00D22420" w:rsidRPr="00CE659A">
        <w:rPr>
          <w:rFonts w:eastAsia="Times New Roman" w:cs="Times New Roman"/>
          <w:b/>
          <w:szCs w:val="24"/>
          <w:lang w:eastAsia="ru-RU"/>
        </w:rPr>
        <w:t>59%</w:t>
      </w:r>
      <w:r w:rsidR="00D22420" w:rsidRPr="00CE659A">
        <w:rPr>
          <w:rFonts w:eastAsia="Times New Roman" w:cs="Times New Roman"/>
          <w:szCs w:val="24"/>
          <w:lang w:eastAsia="ru-RU"/>
        </w:rPr>
        <w:t xml:space="preserve">). Это означает, что население готово терпеть встречающиеся трудности. В том, что трудности будут, </w:t>
      </w:r>
      <w:proofErr w:type="gramStart"/>
      <w:r w:rsidR="00D22420" w:rsidRPr="00CE659A">
        <w:rPr>
          <w:rFonts w:eastAsia="Times New Roman" w:cs="Times New Roman"/>
          <w:szCs w:val="24"/>
          <w:lang w:eastAsia="ru-RU"/>
        </w:rPr>
        <w:t>мало</w:t>
      </w:r>
      <w:proofErr w:type="gramEnd"/>
      <w:r w:rsidR="00D22420" w:rsidRPr="00CE659A">
        <w:rPr>
          <w:rFonts w:eastAsia="Times New Roman" w:cs="Times New Roman"/>
          <w:szCs w:val="24"/>
          <w:lang w:eastAsia="ru-RU"/>
        </w:rPr>
        <w:t xml:space="preserve"> кто сомневается, поскольку только </w:t>
      </w:r>
      <w:r w:rsidR="00D22420" w:rsidRPr="00CE659A">
        <w:rPr>
          <w:rFonts w:eastAsia="Times New Roman" w:cs="Times New Roman"/>
          <w:b/>
          <w:szCs w:val="24"/>
          <w:lang w:eastAsia="ru-RU"/>
        </w:rPr>
        <w:t>7%</w:t>
      </w:r>
      <w:r w:rsidR="008A0186">
        <w:rPr>
          <w:rFonts w:eastAsia="Times New Roman" w:cs="Times New Roman"/>
          <w:szCs w:val="24"/>
          <w:lang w:eastAsia="ru-RU"/>
        </w:rPr>
        <w:t xml:space="preserve"> населения считаю</w:t>
      </w:r>
      <w:r w:rsidR="00D22420" w:rsidRPr="00CE659A">
        <w:rPr>
          <w:rFonts w:eastAsia="Times New Roman" w:cs="Times New Roman"/>
          <w:szCs w:val="24"/>
          <w:lang w:eastAsia="ru-RU"/>
        </w:rPr>
        <w:t xml:space="preserve">т, что самое трудное уже позади. </w:t>
      </w:r>
      <w:r w:rsidR="008A0186">
        <w:rPr>
          <w:rFonts w:eastAsia="Times New Roman" w:cs="Times New Roman"/>
          <w:szCs w:val="24"/>
          <w:lang w:eastAsia="ru-RU"/>
        </w:rPr>
        <w:t>На графике 5 продемонстрирована динамика ответов воронежцев на этот вопрос, начиная с 1999 года</w:t>
      </w:r>
      <w:r w:rsidR="001F1BFA">
        <w:rPr>
          <w:rFonts w:eastAsia="Times New Roman" w:cs="Times New Roman"/>
          <w:szCs w:val="24"/>
          <w:lang w:eastAsia="ru-RU"/>
        </w:rPr>
        <w:t xml:space="preserve"> </w:t>
      </w:r>
      <w:r w:rsidR="001F1BFA" w:rsidRPr="001F1BFA">
        <w:rPr>
          <w:rFonts w:eastAsia="Times New Roman" w:cs="Times New Roman"/>
          <w:szCs w:val="24"/>
          <w:lang w:eastAsia="ru-RU"/>
        </w:rPr>
        <w:t>[5]</w:t>
      </w:r>
      <w:r w:rsidR="008A0186">
        <w:rPr>
          <w:rFonts w:eastAsia="Times New Roman" w:cs="Times New Roman"/>
          <w:szCs w:val="24"/>
          <w:lang w:eastAsia="ru-RU"/>
        </w:rPr>
        <w:t>.</w:t>
      </w:r>
    </w:p>
    <w:p w:rsidR="005466CB" w:rsidRPr="00CE659A" w:rsidRDefault="005466CB" w:rsidP="005466CB">
      <w:pPr>
        <w:ind w:firstLine="540"/>
        <w:jc w:val="righ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График 5</w:t>
      </w:r>
    </w:p>
    <w:p w:rsidR="00D22420" w:rsidRPr="00CE659A" w:rsidRDefault="00D22420" w:rsidP="00D22420">
      <w:pPr>
        <w:jc w:val="center"/>
        <w:rPr>
          <w:rFonts w:eastAsia="Times New Roman" w:cs="Times New Roman"/>
          <w:b/>
          <w:i/>
          <w:color w:val="0070C0"/>
          <w:sz w:val="12"/>
          <w:szCs w:val="12"/>
          <w:lang w:eastAsia="ru-RU"/>
        </w:rPr>
      </w:pPr>
    </w:p>
    <w:p w:rsidR="00D22420" w:rsidRDefault="00D22420" w:rsidP="00D22420">
      <w:pPr>
        <w:jc w:val="center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CE659A">
        <w:rPr>
          <w:rFonts w:eastAsia="Times New Roman" w:cs="Times New Roman"/>
          <w:b/>
          <w:i/>
          <w:color w:val="000000"/>
          <w:szCs w:val="24"/>
          <w:lang w:eastAsia="ru-RU"/>
        </w:rPr>
        <w:t>Какое мнение о положении дел в стране представляется Вам наиболее верным?</w:t>
      </w:r>
    </w:p>
    <w:p w:rsidR="007D02A7" w:rsidRPr="0068719A" w:rsidRDefault="007D02A7" w:rsidP="007D02A7">
      <w:pPr>
        <w:ind w:left="-360"/>
        <w:jc w:val="center"/>
        <w:rPr>
          <w:b/>
          <w:sz w:val="30"/>
          <w:szCs w:val="30"/>
        </w:rPr>
      </w:pPr>
      <w:r w:rsidRPr="0068719A">
        <w:rPr>
          <w:b/>
          <w:sz w:val="30"/>
          <w:szCs w:val="30"/>
        </w:rPr>
        <w:t>№ 201</w:t>
      </w:r>
      <w:r>
        <w:rPr>
          <w:b/>
          <w:sz w:val="30"/>
          <w:szCs w:val="30"/>
        </w:rPr>
        <w:t>6</w:t>
      </w:r>
      <w:r w:rsidRPr="0068719A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07</w:t>
      </w:r>
      <w:r w:rsidRPr="0068719A">
        <w:rPr>
          <w:b/>
          <w:sz w:val="30"/>
          <w:szCs w:val="30"/>
        </w:rPr>
        <w:t xml:space="preserve"> (2</w:t>
      </w:r>
      <w:r>
        <w:rPr>
          <w:b/>
          <w:sz w:val="30"/>
          <w:szCs w:val="30"/>
        </w:rPr>
        <w:t>23</w:t>
      </w:r>
      <w:r w:rsidRPr="0068719A">
        <w:rPr>
          <w:b/>
          <w:sz w:val="30"/>
          <w:szCs w:val="30"/>
        </w:rPr>
        <w:t>)</w:t>
      </w:r>
    </w:p>
    <w:p w:rsidR="007D02A7" w:rsidRPr="00D41526" w:rsidRDefault="007D02A7" w:rsidP="007D02A7">
      <w:pPr>
        <w:ind w:right="49"/>
        <w:jc w:val="center"/>
        <w:rPr>
          <w:b/>
          <w:spacing w:val="-4"/>
          <w:sz w:val="12"/>
          <w:szCs w:val="12"/>
        </w:rPr>
      </w:pPr>
    </w:p>
    <w:p w:rsidR="007D02A7" w:rsidRPr="00CE659A" w:rsidRDefault="007D02A7" w:rsidP="00D22420">
      <w:pPr>
        <w:jc w:val="center"/>
        <w:rPr>
          <w:rFonts w:eastAsia="Times New Roman" w:cs="Times New Roman"/>
          <w:b/>
          <w:i/>
          <w:color w:val="000000"/>
          <w:szCs w:val="24"/>
          <w:lang w:eastAsia="ru-RU"/>
        </w:rPr>
      </w:pPr>
    </w:p>
    <w:p w:rsidR="00D22420" w:rsidRPr="00CE659A" w:rsidRDefault="00D22420" w:rsidP="00D22420">
      <w:pPr>
        <w:jc w:val="center"/>
        <w:rPr>
          <w:rFonts w:eastAsia="Times New Roman" w:cs="Times New Roman"/>
          <w:b/>
          <w:i/>
          <w:color w:val="000000"/>
          <w:szCs w:val="24"/>
          <w:lang w:eastAsia="ru-RU"/>
        </w:rPr>
      </w:pPr>
    </w:p>
    <w:p w:rsidR="00D22420" w:rsidRPr="00CE659A" w:rsidRDefault="00D22420" w:rsidP="00D22420">
      <w:pPr>
        <w:jc w:val="center"/>
        <w:rPr>
          <w:rFonts w:eastAsia="Times New Roman" w:cs="Times New Roman"/>
          <w:b/>
          <w:i/>
          <w:color w:val="0070C0"/>
          <w:szCs w:val="24"/>
          <w:lang w:val="en-US" w:eastAsia="ru-RU"/>
        </w:rPr>
      </w:pPr>
      <w:r w:rsidRPr="00CE659A">
        <w:rPr>
          <w:rFonts w:eastAsia="Times New Roman" w:cs="Times New Roman"/>
          <w:b/>
          <w:i/>
          <w:noProof/>
          <w:color w:val="0070C0"/>
          <w:szCs w:val="24"/>
          <w:lang w:eastAsia="ru-RU"/>
        </w:rPr>
        <w:drawing>
          <wp:inline distT="0" distB="0" distL="0" distR="0" wp14:anchorId="0DBA52E1" wp14:editId="400A470C">
            <wp:extent cx="6353175" cy="2171700"/>
            <wp:effectExtent l="0" t="0" r="9525" b="1905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66CB" w:rsidRDefault="008A0186" w:rsidP="008A0186">
      <w:pPr>
        <w:spacing w:line="276" w:lineRule="auto"/>
        <w:ind w:firstLine="567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color w:val="000000"/>
          <w:szCs w:val="24"/>
        </w:rPr>
        <w:t>Обращает на себя внимание, что з</w:t>
      </w:r>
      <w:r w:rsidR="00D22420" w:rsidRPr="00CE659A">
        <w:rPr>
          <w:rFonts w:eastAsia="Calibri" w:cs="Times New Roman"/>
          <w:color w:val="000000"/>
          <w:szCs w:val="24"/>
        </w:rPr>
        <w:t xml:space="preserve">а семнадцать последних лет число убежденных в верности выбранного страной пути увеличилось с </w:t>
      </w:r>
      <w:r w:rsidR="00D22420" w:rsidRPr="00CE659A">
        <w:rPr>
          <w:rFonts w:eastAsia="Calibri" w:cs="Times New Roman"/>
          <w:b/>
          <w:color w:val="000000"/>
          <w:szCs w:val="24"/>
        </w:rPr>
        <w:t>20%</w:t>
      </w:r>
      <w:r w:rsidR="00D22420" w:rsidRPr="00CE659A">
        <w:rPr>
          <w:rFonts w:eastAsia="Calibri" w:cs="Times New Roman"/>
          <w:color w:val="000000"/>
          <w:szCs w:val="24"/>
        </w:rPr>
        <w:t xml:space="preserve"> до </w:t>
      </w:r>
      <w:r w:rsidR="00D22420" w:rsidRPr="00CE659A">
        <w:rPr>
          <w:rFonts w:eastAsia="Calibri" w:cs="Times New Roman"/>
          <w:b/>
          <w:color w:val="000000"/>
          <w:szCs w:val="24"/>
        </w:rPr>
        <w:t>59</w:t>
      </w:r>
      <w:r w:rsidR="00EE2104">
        <w:rPr>
          <w:rFonts w:eastAsia="Calibri" w:cs="Times New Roman"/>
          <w:b/>
          <w:color w:val="000000"/>
          <w:szCs w:val="24"/>
        </w:rPr>
        <w:t>%</w:t>
      </w:r>
      <w:r w:rsidR="00D22420" w:rsidRPr="00CE659A">
        <w:rPr>
          <w:rFonts w:eastAsia="Calibri" w:cs="Times New Roman"/>
          <w:color w:val="000000"/>
          <w:szCs w:val="24"/>
        </w:rPr>
        <w:t xml:space="preserve">. А количество горожан, подозревающих, что реформы зашли в тупик, и ожидающих тяжелых испытаний, сократилось с </w:t>
      </w:r>
      <w:r w:rsidR="00D22420" w:rsidRPr="00CE659A">
        <w:rPr>
          <w:rFonts w:eastAsia="Calibri" w:cs="Times New Roman"/>
          <w:b/>
          <w:color w:val="000000"/>
          <w:szCs w:val="24"/>
        </w:rPr>
        <w:t>75%</w:t>
      </w:r>
      <w:r w:rsidR="00D22420" w:rsidRPr="00CE659A">
        <w:rPr>
          <w:rFonts w:eastAsia="Calibri" w:cs="Times New Roman"/>
          <w:color w:val="000000"/>
          <w:szCs w:val="24"/>
        </w:rPr>
        <w:t xml:space="preserve"> до </w:t>
      </w:r>
      <w:r w:rsidR="00D22420" w:rsidRPr="00CE659A">
        <w:rPr>
          <w:rFonts w:eastAsia="Calibri" w:cs="Times New Roman"/>
          <w:b/>
          <w:color w:val="000000"/>
          <w:szCs w:val="24"/>
        </w:rPr>
        <w:t>30%</w:t>
      </w:r>
      <w:r w:rsidR="00D22420" w:rsidRPr="00CE659A">
        <w:rPr>
          <w:rFonts w:eastAsia="Calibri" w:cs="Times New Roman"/>
          <w:color w:val="000000"/>
          <w:szCs w:val="24"/>
        </w:rPr>
        <w:t>.</w:t>
      </w:r>
      <w:r w:rsidR="00D22420" w:rsidRPr="00CE659A">
        <w:rPr>
          <w:rFonts w:eastAsia="Calibri" w:cs="Times New Roman"/>
          <w:color w:val="0070C0"/>
          <w:szCs w:val="24"/>
        </w:rPr>
        <w:t xml:space="preserve">  </w:t>
      </w:r>
      <w:r w:rsidRPr="008A0186">
        <w:rPr>
          <w:rFonts w:eastAsia="Calibri" w:cs="Times New Roman"/>
          <w:szCs w:val="24"/>
        </w:rPr>
        <w:t xml:space="preserve">Иными словами, </w:t>
      </w:r>
      <w:r>
        <w:rPr>
          <w:rFonts w:eastAsia="Calibri" w:cs="Times New Roman"/>
          <w:szCs w:val="24"/>
        </w:rPr>
        <w:t xml:space="preserve">сегодня, как никогда ранее с начала века, крепка вера населения в то, </w:t>
      </w:r>
      <w:r w:rsidR="00EE2104">
        <w:rPr>
          <w:rFonts w:eastAsia="Calibri" w:cs="Times New Roman"/>
          <w:szCs w:val="24"/>
        </w:rPr>
        <w:t xml:space="preserve">что </w:t>
      </w:r>
      <w:r>
        <w:rPr>
          <w:rFonts w:eastAsia="Calibri" w:cs="Times New Roman"/>
          <w:szCs w:val="24"/>
        </w:rPr>
        <w:t xml:space="preserve">Россия движется в верном направлении. </w:t>
      </w:r>
      <w:proofErr w:type="gramEnd"/>
    </w:p>
    <w:p w:rsidR="006C362B" w:rsidRPr="00F03DB2" w:rsidRDefault="00C56D8D" w:rsidP="00F03DB2">
      <w:pPr>
        <w:spacing w:line="276" w:lineRule="auto"/>
        <w:ind w:firstLine="540"/>
        <w:rPr>
          <w:rFonts w:eastAsia="Times New Roman" w:cs="Times New Roman"/>
          <w:iCs/>
          <w:szCs w:val="24"/>
          <w:lang w:eastAsia="ru-RU"/>
        </w:rPr>
      </w:pPr>
      <w:r w:rsidRPr="004C5A21">
        <w:rPr>
          <w:rFonts w:eastAsia="Times New Roman" w:cs="Times New Roman"/>
          <w:iCs/>
          <w:color w:val="000000"/>
          <w:szCs w:val="24"/>
          <w:lang w:eastAsia="ru-RU"/>
        </w:rPr>
        <w:t xml:space="preserve">Само же понятие «правильного пути» относится к идеологической сфере, зависит от социально-культурных факторов и имеет своим основанием «багаж» определенных ценностей, которые трансцендентны (по </w:t>
      </w:r>
      <w:proofErr w:type="spellStart"/>
      <w:r w:rsidRPr="004C5A21">
        <w:rPr>
          <w:rFonts w:eastAsia="Times New Roman" w:cs="Times New Roman"/>
          <w:iCs/>
          <w:color w:val="000000"/>
          <w:szCs w:val="24"/>
          <w:lang w:eastAsia="ru-RU"/>
        </w:rPr>
        <w:t>Парсонсу</w:t>
      </w:r>
      <w:proofErr w:type="spellEnd"/>
      <w:r w:rsidRPr="004C5A21">
        <w:rPr>
          <w:rFonts w:eastAsia="Times New Roman" w:cs="Times New Roman"/>
          <w:iCs/>
          <w:color w:val="000000"/>
          <w:szCs w:val="24"/>
          <w:lang w:eastAsia="ru-RU"/>
        </w:rPr>
        <w:t xml:space="preserve">) по отношению к материальной сфере. Власть при этом рассматривается как проводник, который должен вести общество по «правильному пути». Если власть «сбивается с пути», </w:t>
      </w:r>
      <w:r w:rsidRPr="004C5A21">
        <w:rPr>
          <w:rFonts w:eastAsia="Times New Roman" w:cs="Times New Roman"/>
          <w:iCs/>
          <w:szCs w:val="24"/>
          <w:lang w:eastAsia="ru-RU"/>
        </w:rPr>
        <w:t>она теряет свою легитимность.</w:t>
      </w:r>
      <w:r w:rsidR="000A3ECC" w:rsidRPr="004C5A21">
        <w:t xml:space="preserve"> </w:t>
      </w:r>
      <w:r w:rsidR="006C362B" w:rsidRPr="004C5A21">
        <w:t xml:space="preserve">Учитывая то обстоятельство, что </w:t>
      </w:r>
      <w:r w:rsidR="006C362B" w:rsidRPr="004C5A21">
        <w:lastRenderedPageBreak/>
        <w:t>именно «доминирующая в массовом сознании модель образа власти предопределяет вектор общественных изменений</w:t>
      </w:r>
      <w:r w:rsidR="0042232B" w:rsidRPr="004C5A21">
        <w:t>» [</w:t>
      </w:r>
      <w:r w:rsidR="00561B4D">
        <w:t xml:space="preserve">6, </w:t>
      </w:r>
      <w:r w:rsidR="0042232B" w:rsidRPr="004C5A21">
        <w:t xml:space="preserve">С. 396], как доказывают научные исследования, то в ближайшее время нам предстоит пойти по тому пути, который большинством народа признан «правильным» и вызывает существенный рост социального оптимизма. </w:t>
      </w:r>
    </w:p>
    <w:p w:rsidR="0042232B" w:rsidRPr="004C5A21" w:rsidRDefault="0042232B" w:rsidP="0042232B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szCs w:val="24"/>
          <w:lang w:eastAsia="ru-RU"/>
        </w:rPr>
      </w:pPr>
    </w:p>
    <w:p w:rsidR="0042232B" w:rsidRPr="004C5A21" w:rsidRDefault="007432E8" w:rsidP="000E6103">
      <w:pPr>
        <w:spacing w:line="276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4C5A21">
        <w:rPr>
          <w:rFonts w:eastAsia="Times New Roman" w:cs="Times New Roman"/>
          <w:bCs/>
          <w:szCs w:val="24"/>
          <w:lang w:eastAsia="ru-RU"/>
        </w:rPr>
        <w:t>Литература</w:t>
      </w:r>
    </w:p>
    <w:p w:rsidR="007432E8" w:rsidRDefault="007432E8" w:rsidP="00A30272">
      <w:pPr>
        <w:pStyle w:val="a5"/>
        <w:numPr>
          <w:ilvl w:val="0"/>
          <w:numId w:val="6"/>
        </w:numPr>
        <w:spacing w:line="276" w:lineRule="auto"/>
        <w:rPr>
          <w:rFonts w:cs="Times New Roman"/>
          <w:color w:val="212121"/>
          <w:szCs w:val="24"/>
        </w:rPr>
      </w:pPr>
      <w:r w:rsidRPr="00A30272">
        <w:rPr>
          <w:rFonts w:cs="Times New Roman"/>
          <w:color w:val="212121"/>
          <w:szCs w:val="24"/>
        </w:rPr>
        <w:t xml:space="preserve">Кант И. Опыт некоторых исследований об </w:t>
      </w:r>
      <w:hyperlink r:id="rId11" w:history="1">
        <w:r w:rsidRPr="00A30272">
          <w:rPr>
            <w:rFonts w:cs="Times New Roman"/>
            <w:color w:val="212121"/>
            <w:szCs w:val="24"/>
          </w:rPr>
          <w:t>оптимизме</w:t>
        </w:r>
      </w:hyperlink>
      <w:r w:rsidRPr="00A30272">
        <w:rPr>
          <w:rFonts w:cs="Times New Roman"/>
          <w:color w:val="212121"/>
          <w:szCs w:val="24"/>
        </w:rPr>
        <w:t>. Соч. В 6-ти т. М., 1963-1966</w:t>
      </w:r>
      <w:r w:rsidR="00A30272">
        <w:rPr>
          <w:rFonts w:cs="Times New Roman"/>
          <w:color w:val="212121"/>
          <w:szCs w:val="24"/>
        </w:rPr>
        <w:t>.</w:t>
      </w:r>
    </w:p>
    <w:p w:rsidR="000E6103" w:rsidRDefault="000E6103" w:rsidP="000E6103">
      <w:pPr>
        <w:pStyle w:val="a5"/>
        <w:numPr>
          <w:ilvl w:val="0"/>
          <w:numId w:val="6"/>
        </w:numPr>
        <w:spacing w:line="276" w:lineRule="auto"/>
        <w:rPr>
          <w:rFonts w:cs="Times New Roman"/>
          <w:color w:val="212121"/>
          <w:szCs w:val="24"/>
        </w:rPr>
      </w:pPr>
      <w:proofErr w:type="spellStart"/>
      <w:r w:rsidRPr="00A30272">
        <w:rPr>
          <w:rFonts w:cs="Times New Roman"/>
          <w:color w:val="212121"/>
          <w:szCs w:val="24"/>
        </w:rPr>
        <w:t>Боташева</w:t>
      </w:r>
      <w:proofErr w:type="spellEnd"/>
      <w:r w:rsidRPr="00A30272">
        <w:rPr>
          <w:rFonts w:cs="Times New Roman"/>
          <w:color w:val="212121"/>
          <w:szCs w:val="24"/>
        </w:rPr>
        <w:t xml:space="preserve"> Ш.Х. </w:t>
      </w:r>
      <w:hyperlink r:id="rId12" w:history="1">
        <w:r w:rsidRPr="00A30272">
          <w:rPr>
            <w:rStyle w:val="a8"/>
            <w:rFonts w:cs="Times New Roman"/>
            <w:color w:val="212121"/>
            <w:szCs w:val="24"/>
          </w:rPr>
          <w:t>Социальный</w:t>
        </w:r>
      </w:hyperlink>
      <w:r w:rsidRPr="00A30272">
        <w:rPr>
          <w:rFonts w:cs="Times New Roman"/>
          <w:color w:val="212121"/>
          <w:szCs w:val="24"/>
        </w:rPr>
        <w:t xml:space="preserve"> </w:t>
      </w:r>
      <w:hyperlink r:id="rId13" w:history="1">
        <w:r w:rsidRPr="00A30272">
          <w:rPr>
            <w:rStyle w:val="a8"/>
            <w:rFonts w:cs="Times New Roman"/>
            <w:color w:val="212121"/>
            <w:szCs w:val="24"/>
          </w:rPr>
          <w:t>оптимизм</w:t>
        </w:r>
      </w:hyperlink>
      <w:r w:rsidRPr="00A30272">
        <w:rPr>
          <w:rFonts w:cs="Times New Roman"/>
          <w:color w:val="212121"/>
          <w:szCs w:val="24"/>
        </w:rPr>
        <w:t xml:space="preserve"> и пессимизм как </w:t>
      </w:r>
      <w:proofErr w:type="gramStart"/>
      <w:r w:rsidRPr="00A30272">
        <w:rPr>
          <w:rFonts w:cs="Times New Roman"/>
          <w:color w:val="212121"/>
          <w:szCs w:val="24"/>
        </w:rPr>
        <w:t>философская</w:t>
      </w:r>
      <w:proofErr w:type="gramEnd"/>
      <w:r w:rsidRPr="00A30272">
        <w:rPr>
          <w:rFonts w:cs="Times New Roman"/>
          <w:color w:val="212121"/>
          <w:szCs w:val="24"/>
        </w:rPr>
        <w:t xml:space="preserve"> </w:t>
      </w:r>
      <w:proofErr w:type="spellStart"/>
      <w:r w:rsidRPr="00A30272">
        <w:rPr>
          <w:rFonts w:cs="Times New Roman"/>
          <w:color w:val="212121"/>
          <w:szCs w:val="24"/>
        </w:rPr>
        <w:t>антропогема</w:t>
      </w:r>
      <w:proofErr w:type="spellEnd"/>
      <w:r w:rsidRPr="00A30272">
        <w:rPr>
          <w:rFonts w:cs="Times New Roman"/>
          <w:color w:val="212121"/>
          <w:szCs w:val="24"/>
        </w:rPr>
        <w:t>. М., 2001</w:t>
      </w:r>
      <w:r>
        <w:rPr>
          <w:rFonts w:cs="Times New Roman"/>
          <w:color w:val="212121"/>
          <w:szCs w:val="24"/>
        </w:rPr>
        <w:t>.</w:t>
      </w:r>
    </w:p>
    <w:p w:rsidR="000E6103" w:rsidRPr="00A30272" w:rsidRDefault="000E6103" w:rsidP="000E6103">
      <w:pPr>
        <w:pStyle w:val="a5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ru-RU"/>
        </w:rPr>
      </w:pPr>
      <w:r w:rsidRPr="00A30272">
        <w:rPr>
          <w:rFonts w:eastAsia="Times New Roman" w:cs="Arial"/>
          <w:bCs/>
          <w:spacing w:val="-4"/>
          <w:szCs w:val="24"/>
          <w:lang w:eastAsia="ru-RU"/>
        </w:rPr>
        <w:t>Национальная педагогическая энциклопедия. [</w:t>
      </w:r>
      <w:r w:rsidRPr="00A30272">
        <w:rPr>
          <w:rFonts w:eastAsia="Times New Roman" w:cs="Times New Roman"/>
          <w:szCs w:val="24"/>
          <w:lang w:eastAsia="ru-RU"/>
        </w:rPr>
        <w:t xml:space="preserve">Электронный ресурс]. </w:t>
      </w:r>
      <w:r w:rsidRPr="00A30272">
        <w:rPr>
          <w:rFonts w:eastAsia="Times New Roman" w:cs="Times New Roman"/>
          <w:szCs w:val="24"/>
          <w:lang w:val="en-US" w:eastAsia="ru-RU"/>
        </w:rPr>
        <w:t>URL</w:t>
      </w:r>
      <w:r w:rsidRPr="00A30272">
        <w:rPr>
          <w:rFonts w:eastAsia="Times New Roman" w:cs="Arial"/>
          <w:bCs/>
          <w:spacing w:val="-4"/>
          <w:szCs w:val="24"/>
          <w:lang w:eastAsia="ru-RU"/>
        </w:rPr>
        <w:t xml:space="preserve">: </w:t>
      </w:r>
      <w:r w:rsidRPr="00A30272">
        <w:rPr>
          <w:rFonts w:eastAsia="Times New Roman" w:cs="Arial"/>
          <w:bCs/>
          <w:spacing w:val="-4"/>
          <w:szCs w:val="24"/>
          <w:lang w:val="en-US" w:eastAsia="ru-RU"/>
        </w:rPr>
        <w:t>http</w:t>
      </w:r>
      <w:r w:rsidRPr="00A30272">
        <w:rPr>
          <w:rFonts w:eastAsia="Times New Roman" w:cs="Arial"/>
          <w:bCs/>
          <w:spacing w:val="-4"/>
          <w:szCs w:val="24"/>
          <w:lang w:eastAsia="ru-RU"/>
        </w:rPr>
        <w:t>://</w:t>
      </w:r>
      <w:proofErr w:type="spellStart"/>
      <w:r w:rsidRPr="00A30272">
        <w:rPr>
          <w:rFonts w:eastAsia="Times New Roman" w:cs="Arial"/>
          <w:bCs/>
          <w:spacing w:val="-4"/>
          <w:szCs w:val="24"/>
          <w:lang w:val="en-US" w:eastAsia="ru-RU"/>
        </w:rPr>
        <w:t>didacts</w:t>
      </w:r>
      <w:proofErr w:type="spellEnd"/>
      <w:r w:rsidRPr="00A30272">
        <w:rPr>
          <w:rFonts w:eastAsia="Times New Roman" w:cs="Arial"/>
          <w:bCs/>
          <w:spacing w:val="-4"/>
          <w:szCs w:val="24"/>
          <w:lang w:eastAsia="ru-RU"/>
        </w:rPr>
        <w:t>.</w:t>
      </w:r>
      <w:proofErr w:type="spellStart"/>
      <w:r w:rsidRPr="00A30272">
        <w:rPr>
          <w:rFonts w:eastAsia="Times New Roman" w:cs="Arial"/>
          <w:bCs/>
          <w:spacing w:val="-4"/>
          <w:szCs w:val="24"/>
          <w:lang w:val="en-US" w:eastAsia="ru-RU"/>
        </w:rPr>
        <w:t>ru</w:t>
      </w:r>
      <w:proofErr w:type="spellEnd"/>
      <w:r w:rsidRPr="00A30272">
        <w:rPr>
          <w:rFonts w:eastAsia="Times New Roman" w:cs="Arial"/>
          <w:bCs/>
          <w:spacing w:val="-4"/>
          <w:szCs w:val="24"/>
          <w:lang w:eastAsia="ru-RU"/>
        </w:rPr>
        <w:t>/</w:t>
      </w:r>
      <w:proofErr w:type="spellStart"/>
      <w:r w:rsidRPr="00A30272">
        <w:rPr>
          <w:rFonts w:eastAsia="Times New Roman" w:cs="Arial"/>
          <w:bCs/>
          <w:spacing w:val="-4"/>
          <w:szCs w:val="24"/>
          <w:lang w:val="en-US" w:eastAsia="ru-RU"/>
        </w:rPr>
        <w:t>termin</w:t>
      </w:r>
      <w:proofErr w:type="spellEnd"/>
      <w:r w:rsidRPr="00A30272">
        <w:rPr>
          <w:rFonts w:eastAsia="Times New Roman" w:cs="Arial"/>
          <w:bCs/>
          <w:spacing w:val="-4"/>
          <w:szCs w:val="24"/>
          <w:lang w:eastAsia="ru-RU"/>
        </w:rPr>
        <w:t>/</w:t>
      </w:r>
      <w:proofErr w:type="spellStart"/>
      <w:r w:rsidRPr="00A30272">
        <w:rPr>
          <w:rFonts w:eastAsia="Times New Roman" w:cs="Arial"/>
          <w:bCs/>
          <w:spacing w:val="-4"/>
          <w:szCs w:val="24"/>
          <w:lang w:val="en-US" w:eastAsia="ru-RU"/>
        </w:rPr>
        <w:t>socialnyi</w:t>
      </w:r>
      <w:proofErr w:type="spellEnd"/>
      <w:r w:rsidRPr="00A30272">
        <w:rPr>
          <w:rFonts w:eastAsia="Times New Roman" w:cs="Arial"/>
          <w:bCs/>
          <w:spacing w:val="-4"/>
          <w:szCs w:val="24"/>
          <w:lang w:eastAsia="ru-RU"/>
        </w:rPr>
        <w:t>-</w:t>
      </w:r>
      <w:proofErr w:type="spellStart"/>
      <w:r w:rsidRPr="00A30272">
        <w:rPr>
          <w:rFonts w:eastAsia="Times New Roman" w:cs="Arial"/>
          <w:bCs/>
          <w:spacing w:val="-4"/>
          <w:szCs w:val="24"/>
          <w:lang w:val="en-US" w:eastAsia="ru-RU"/>
        </w:rPr>
        <w:t>optimizm</w:t>
      </w:r>
      <w:proofErr w:type="spellEnd"/>
      <w:r w:rsidRPr="00A30272">
        <w:rPr>
          <w:rFonts w:eastAsia="Times New Roman" w:cs="Arial"/>
          <w:bCs/>
          <w:spacing w:val="-4"/>
          <w:szCs w:val="24"/>
          <w:lang w:eastAsia="ru-RU"/>
        </w:rPr>
        <w:t>.</w:t>
      </w:r>
      <w:r w:rsidRPr="00A30272">
        <w:rPr>
          <w:rFonts w:eastAsia="Times New Roman" w:cs="Arial"/>
          <w:bCs/>
          <w:spacing w:val="-4"/>
          <w:szCs w:val="24"/>
          <w:lang w:val="en-US" w:eastAsia="ru-RU"/>
        </w:rPr>
        <w:t>html</w:t>
      </w:r>
      <w:r w:rsidRPr="00A30272">
        <w:rPr>
          <w:rFonts w:eastAsia="Times New Roman" w:cs="Arial"/>
          <w:bCs/>
          <w:spacing w:val="-4"/>
          <w:szCs w:val="24"/>
          <w:lang w:eastAsia="ru-RU"/>
        </w:rPr>
        <w:t xml:space="preserve"> </w:t>
      </w:r>
      <w:r w:rsidRPr="00A30272">
        <w:rPr>
          <w:rFonts w:eastAsia="Times New Roman" w:cs="Times New Roman"/>
          <w:szCs w:val="24"/>
          <w:lang w:eastAsia="ru-RU"/>
        </w:rPr>
        <w:t xml:space="preserve">(дата обращения </w:t>
      </w:r>
      <w:r>
        <w:rPr>
          <w:rFonts w:eastAsia="Times New Roman" w:cs="Times New Roman"/>
          <w:szCs w:val="24"/>
          <w:lang w:eastAsia="ru-RU"/>
        </w:rPr>
        <w:t>18</w:t>
      </w:r>
      <w:r w:rsidRPr="00A30272">
        <w:rPr>
          <w:rFonts w:eastAsia="Times New Roman" w:cs="Times New Roman"/>
          <w:szCs w:val="24"/>
          <w:lang w:eastAsia="ru-RU"/>
        </w:rPr>
        <w:t>.12.2016).</w:t>
      </w:r>
    </w:p>
    <w:p w:rsidR="007E691F" w:rsidRPr="00A30272" w:rsidRDefault="007E691F" w:rsidP="00A30272">
      <w:pPr>
        <w:pStyle w:val="a5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ru-RU"/>
        </w:rPr>
      </w:pPr>
      <w:r w:rsidRPr="00A30272">
        <w:rPr>
          <w:rFonts w:eastAsia="Times New Roman" w:cs="Times New Roman"/>
          <w:szCs w:val="24"/>
          <w:lang w:eastAsia="ru-RU"/>
        </w:rPr>
        <w:t>Ежемесячный Бюллетень социологических сообщений по г. Воронежу под ред. Н.А.</w:t>
      </w:r>
    </w:p>
    <w:p w:rsidR="007432E8" w:rsidRPr="001F1BFA" w:rsidRDefault="007432E8" w:rsidP="00A30272">
      <w:pPr>
        <w:pStyle w:val="a5"/>
        <w:spacing w:line="276" w:lineRule="auto"/>
        <w:rPr>
          <w:rFonts w:eastAsia="Times New Roman" w:cs="Times New Roman"/>
          <w:szCs w:val="24"/>
          <w:lang w:eastAsia="ru-RU"/>
        </w:rPr>
      </w:pPr>
      <w:r w:rsidRPr="00A30272">
        <w:rPr>
          <w:rFonts w:eastAsia="Times New Roman" w:cs="Times New Roman"/>
          <w:szCs w:val="24"/>
          <w:lang w:eastAsia="ru-RU"/>
        </w:rPr>
        <w:t>Романович. Воронеж: ИОМ «Квалитас», 2016-</w:t>
      </w:r>
      <w:r w:rsidR="007E691F" w:rsidRPr="00A30272">
        <w:rPr>
          <w:rFonts w:eastAsia="Times New Roman" w:cs="Times New Roman"/>
          <w:szCs w:val="24"/>
          <w:lang w:eastAsia="ru-RU"/>
        </w:rPr>
        <w:t>12</w:t>
      </w:r>
      <w:r w:rsidRPr="00A30272">
        <w:rPr>
          <w:rFonts w:eastAsia="Times New Roman" w:cs="Times New Roman"/>
          <w:szCs w:val="24"/>
          <w:lang w:eastAsia="ru-RU"/>
        </w:rPr>
        <w:t xml:space="preserve">. [Электронный ресурс]. </w:t>
      </w:r>
      <w:r w:rsidRPr="00A30272">
        <w:rPr>
          <w:rFonts w:eastAsia="Times New Roman" w:cs="Times New Roman"/>
          <w:szCs w:val="24"/>
          <w:lang w:val="en-US" w:eastAsia="ru-RU"/>
        </w:rPr>
        <w:t>URL</w:t>
      </w:r>
      <w:r w:rsidRPr="00A30272">
        <w:rPr>
          <w:rFonts w:eastAsia="Times New Roman" w:cs="Times New Roman"/>
          <w:szCs w:val="24"/>
          <w:lang w:eastAsia="ru-RU"/>
        </w:rPr>
        <w:t>:   http://qualitas.ru/ru/publications/bulletin/2016/</w:t>
      </w:r>
      <w:r w:rsidR="007E691F" w:rsidRPr="00A30272">
        <w:rPr>
          <w:rFonts w:eastAsia="Times New Roman" w:cs="Times New Roman"/>
          <w:szCs w:val="24"/>
          <w:lang w:val="en-US" w:eastAsia="ru-RU"/>
        </w:rPr>
        <w:t>December</w:t>
      </w:r>
      <w:r w:rsidRPr="00A30272">
        <w:rPr>
          <w:rFonts w:eastAsia="Times New Roman" w:cs="Times New Roman"/>
          <w:szCs w:val="24"/>
          <w:lang w:eastAsia="ru-RU"/>
        </w:rPr>
        <w:t xml:space="preserve"> (дата обращения 21.12.2016).</w:t>
      </w:r>
    </w:p>
    <w:p w:rsidR="000E6103" w:rsidRPr="00A30272" w:rsidRDefault="000E6103" w:rsidP="000E6103">
      <w:pPr>
        <w:pStyle w:val="a5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ru-RU"/>
        </w:rPr>
      </w:pPr>
      <w:r w:rsidRPr="00A30272">
        <w:rPr>
          <w:rFonts w:eastAsia="Times New Roman" w:cs="Times New Roman"/>
          <w:szCs w:val="24"/>
          <w:lang w:eastAsia="ru-RU"/>
        </w:rPr>
        <w:t>Ежемесячный Бюллетень социологических сообщений по г. Воронежу под ред. Н.А.</w:t>
      </w:r>
    </w:p>
    <w:p w:rsidR="000E6103" w:rsidRPr="00A30272" w:rsidRDefault="000E6103" w:rsidP="000E6103">
      <w:pPr>
        <w:pStyle w:val="a5"/>
        <w:spacing w:line="276" w:lineRule="auto"/>
        <w:rPr>
          <w:rFonts w:eastAsia="Times New Roman" w:cs="Times New Roman"/>
          <w:szCs w:val="24"/>
          <w:lang w:eastAsia="ru-RU"/>
        </w:rPr>
      </w:pPr>
      <w:r w:rsidRPr="00A30272">
        <w:rPr>
          <w:rFonts w:eastAsia="Times New Roman" w:cs="Times New Roman"/>
          <w:szCs w:val="24"/>
          <w:lang w:eastAsia="ru-RU"/>
        </w:rPr>
        <w:t>Романович. Воронеж: ИОМ «Квалитас», 2016-</w:t>
      </w:r>
      <w:r w:rsidR="00561B4D" w:rsidRPr="001F1BFA">
        <w:rPr>
          <w:rFonts w:eastAsia="Times New Roman" w:cs="Times New Roman"/>
          <w:szCs w:val="24"/>
          <w:lang w:eastAsia="ru-RU"/>
        </w:rPr>
        <w:t>07</w:t>
      </w:r>
      <w:r w:rsidRPr="00A30272">
        <w:rPr>
          <w:rFonts w:eastAsia="Times New Roman" w:cs="Times New Roman"/>
          <w:szCs w:val="24"/>
          <w:lang w:eastAsia="ru-RU"/>
        </w:rPr>
        <w:t xml:space="preserve">. [Электронный ресурс]. </w:t>
      </w:r>
      <w:r w:rsidRPr="00A30272">
        <w:rPr>
          <w:rFonts w:eastAsia="Times New Roman" w:cs="Times New Roman"/>
          <w:szCs w:val="24"/>
          <w:lang w:val="en-US" w:eastAsia="ru-RU"/>
        </w:rPr>
        <w:t>URL</w:t>
      </w:r>
      <w:r w:rsidRPr="00A30272">
        <w:rPr>
          <w:rFonts w:eastAsia="Times New Roman" w:cs="Times New Roman"/>
          <w:szCs w:val="24"/>
          <w:lang w:eastAsia="ru-RU"/>
        </w:rPr>
        <w:t>:   http://qualitas.ru/ru/publications/bulletin/2016/</w:t>
      </w:r>
      <w:r w:rsidR="00561B4D">
        <w:rPr>
          <w:rFonts w:eastAsia="Times New Roman" w:cs="Times New Roman"/>
          <w:szCs w:val="24"/>
          <w:lang w:val="en-US" w:eastAsia="ru-RU"/>
        </w:rPr>
        <w:t>July</w:t>
      </w:r>
      <w:r w:rsidRPr="00A30272">
        <w:rPr>
          <w:rFonts w:eastAsia="Times New Roman" w:cs="Times New Roman"/>
          <w:szCs w:val="24"/>
          <w:lang w:eastAsia="ru-RU"/>
        </w:rPr>
        <w:t xml:space="preserve"> (дата обращения </w:t>
      </w:r>
      <w:r w:rsidR="00561B4D" w:rsidRPr="00561B4D">
        <w:rPr>
          <w:rFonts w:eastAsia="Times New Roman" w:cs="Times New Roman"/>
          <w:szCs w:val="24"/>
          <w:lang w:eastAsia="ru-RU"/>
        </w:rPr>
        <w:t>03.02.2017</w:t>
      </w:r>
      <w:r w:rsidRPr="00A30272">
        <w:rPr>
          <w:rFonts w:eastAsia="Times New Roman" w:cs="Times New Roman"/>
          <w:szCs w:val="24"/>
          <w:lang w:eastAsia="ru-RU"/>
        </w:rPr>
        <w:t>).</w:t>
      </w:r>
    </w:p>
    <w:p w:rsidR="004C5A21" w:rsidRPr="00A30272" w:rsidRDefault="004C5A21" w:rsidP="00A3027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Times New Roman" w:cs="Times New Roman"/>
          <w:bCs/>
          <w:szCs w:val="24"/>
          <w:lang w:eastAsia="ru-RU"/>
        </w:rPr>
      </w:pPr>
      <w:r w:rsidRPr="00A30272">
        <w:rPr>
          <w:rFonts w:eastAsia="Times New Roman" w:cs="Times New Roman"/>
          <w:bCs/>
          <w:szCs w:val="24"/>
          <w:lang w:eastAsia="ru-RU"/>
        </w:rPr>
        <w:t xml:space="preserve">Романович Н.А.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Формирование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и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воспроизводство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образа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власти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в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российском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обществе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—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Воронеж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: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Издательство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Воронежского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государственного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университета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, 2009.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—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 400 </w:t>
      </w:r>
      <w:r w:rsidRPr="00A30272">
        <w:rPr>
          <w:rFonts w:eastAsia="Times New Roman" w:cs="Times New Roman" w:hint="eastAsia"/>
          <w:bCs/>
          <w:szCs w:val="24"/>
          <w:lang w:eastAsia="ru-RU"/>
        </w:rPr>
        <w:t>с</w:t>
      </w:r>
      <w:r w:rsidRPr="00A30272">
        <w:rPr>
          <w:rFonts w:eastAsia="Times New Roman" w:cs="Times New Roman"/>
          <w:bCs/>
          <w:szCs w:val="24"/>
          <w:lang w:eastAsia="ru-RU"/>
        </w:rPr>
        <w:t xml:space="preserve">. </w:t>
      </w:r>
    </w:p>
    <w:p w:rsidR="00C56D8D" w:rsidRPr="006C362B" w:rsidRDefault="00C56D8D" w:rsidP="007E691F">
      <w:pPr>
        <w:spacing w:line="276" w:lineRule="auto"/>
        <w:ind w:firstLine="540"/>
        <w:rPr>
          <w:rFonts w:eastAsia="Times New Roman" w:cs="Times New Roman"/>
          <w:iCs/>
          <w:sz w:val="28"/>
          <w:szCs w:val="28"/>
          <w:lang w:eastAsia="ru-RU"/>
        </w:rPr>
      </w:pPr>
    </w:p>
    <w:p w:rsidR="00C56D8D" w:rsidRDefault="00C56D8D" w:rsidP="007E691F">
      <w:pPr>
        <w:spacing w:line="276" w:lineRule="auto"/>
        <w:ind w:firstLine="567"/>
        <w:rPr>
          <w:rFonts w:eastAsia="Times New Roman" w:cs="Times New Roman"/>
          <w:iCs/>
          <w:color w:val="0070C0"/>
          <w:sz w:val="28"/>
          <w:szCs w:val="28"/>
          <w:lang w:eastAsia="ru-RU"/>
        </w:rPr>
      </w:pPr>
    </w:p>
    <w:p w:rsidR="00C56D8D" w:rsidRPr="008A0186" w:rsidRDefault="00C56D8D" w:rsidP="007E691F">
      <w:pPr>
        <w:spacing w:line="276" w:lineRule="auto"/>
        <w:ind w:firstLine="567"/>
        <w:rPr>
          <w:rFonts w:eastAsia="Calibri" w:cs="Times New Roman"/>
          <w:szCs w:val="24"/>
        </w:rPr>
      </w:pPr>
    </w:p>
    <w:sectPr w:rsidR="00C56D8D" w:rsidRPr="008A0186" w:rsidSect="00725A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12"/>
    <w:multiLevelType w:val="hybridMultilevel"/>
    <w:tmpl w:val="46A6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1144"/>
    <w:multiLevelType w:val="hybridMultilevel"/>
    <w:tmpl w:val="0096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800F0"/>
    <w:multiLevelType w:val="hybridMultilevel"/>
    <w:tmpl w:val="3AAE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C4F05"/>
    <w:multiLevelType w:val="multilevel"/>
    <w:tmpl w:val="724A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A53A4"/>
    <w:multiLevelType w:val="hybridMultilevel"/>
    <w:tmpl w:val="815C2AE8"/>
    <w:lvl w:ilvl="0" w:tplc="78025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2088"/>
    <w:multiLevelType w:val="hybridMultilevel"/>
    <w:tmpl w:val="56F2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20"/>
    <w:rsid w:val="00047E29"/>
    <w:rsid w:val="00066228"/>
    <w:rsid w:val="000A3ECC"/>
    <w:rsid w:val="000B1959"/>
    <w:rsid w:val="000E6103"/>
    <w:rsid w:val="00126E81"/>
    <w:rsid w:val="001F1BFA"/>
    <w:rsid w:val="00235A36"/>
    <w:rsid w:val="00273483"/>
    <w:rsid w:val="002E175C"/>
    <w:rsid w:val="002E2FD9"/>
    <w:rsid w:val="002E30F9"/>
    <w:rsid w:val="002E393F"/>
    <w:rsid w:val="00323BE7"/>
    <w:rsid w:val="0035143F"/>
    <w:rsid w:val="00384769"/>
    <w:rsid w:val="003B5E4C"/>
    <w:rsid w:val="0042232B"/>
    <w:rsid w:val="00422E6C"/>
    <w:rsid w:val="00440CF2"/>
    <w:rsid w:val="0045142B"/>
    <w:rsid w:val="00485EF0"/>
    <w:rsid w:val="004944ED"/>
    <w:rsid w:val="004B56D6"/>
    <w:rsid w:val="004C5A21"/>
    <w:rsid w:val="004E27A3"/>
    <w:rsid w:val="005466CB"/>
    <w:rsid w:val="00561B4D"/>
    <w:rsid w:val="00572BBC"/>
    <w:rsid w:val="0057520E"/>
    <w:rsid w:val="00594C7D"/>
    <w:rsid w:val="005A1248"/>
    <w:rsid w:val="005B3763"/>
    <w:rsid w:val="005D2128"/>
    <w:rsid w:val="00601705"/>
    <w:rsid w:val="00657D7B"/>
    <w:rsid w:val="006C362B"/>
    <w:rsid w:val="006C79C2"/>
    <w:rsid w:val="006E41F9"/>
    <w:rsid w:val="006E686B"/>
    <w:rsid w:val="00725AAE"/>
    <w:rsid w:val="007432E8"/>
    <w:rsid w:val="0074510A"/>
    <w:rsid w:val="007617FD"/>
    <w:rsid w:val="007C5E76"/>
    <w:rsid w:val="007D02A7"/>
    <w:rsid w:val="007E691F"/>
    <w:rsid w:val="008035CE"/>
    <w:rsid w:val="008107A3"/>
    <w:rsid w:val="00842409"/>
    <w:rsid w:val="008765FB"/>
    <w:rsid w:val="008A0186"/>
    <w:rsid w:val="008E23F1"/>
    <w:rsid w:val="008F723B"/>
    <w:rsid w:val="009159E1"/>
    <w:rsid w:val="0093773C"/>
    <w:rsid w:val="00945FA8"/>
    <w:rsid w:val="0099358B"/>
    <w:rsid w:val="009C7712"/>
    <w:rsid w:val="009E0DFE"/>
    <w:rsid w:val="00A30272"/>
    <w:rsid w:val="00A333E4"/>
    <w:rsid w:val="00A4141F"/>
    <w:rsid w:val="00A46071"/>
    <w:rsid w:val="00B20DF9"/>
    <w:rsid w:val="00B37ECB"/>
    <w:rsid w:val="00B63D6F"/>
    <w:rsid w:val="00BA07C7"/>
    <w:rsid w:val="00BE46DB"/>
    <w:rsid w:val="00C17396"/>
    <w:rsid w:val="00C20674"/>
    <w:rsid w:val="00C56D8D"/>
    <w:rsid w:val="00CB6487"/>
    <w:rsid w:val="00CF3BC8"/>
    <w:rsid w:val="00D22420"/>
    <w:rsid w:val="00D3483A"/>
    <w:rsid w:val="00D5634A"/>
    <w:rsid w:val="00DC6562"/>
    <w:rsid w:val="00E331BA"/>
    <w:rsid w:val="00E3410A"/>
    <w:rsid w:val="00E45F1B"/>
    <w:rsid w:val="00E5710D"/>
    <w:rsid w:val="00EE2104"/>
    <w:rsid w:val="00F03DB2"/>
    <w:rsid w:val="00F74F8F"/>
    <w:rsid w:val="00F86AA7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DFE"/>
    <w:pPr>
      <w:ind w:left="720"/>
      <w:contextualSpacing/>
    </w:pPr>
  </w:style>
  <w:style w:type="table" w:styleId="a6">
    <w:name w:val="Table Grid"/>
    <w:basedOn w:val="a1"/>
    <w:uiPriority w:val="59"/>
    <w:rsid w:val="00CB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gofoundword1">
    <w:name w:val="gogofoundword1"/>
    <w:basedOn w:val="a0"/>
    <w:rsid w:val="00066228"/>
    <w:rPr>
      <w:shd w:val="clear" w:color="auto" w:fill="FFFF00"/>
    </w:rPr>
  </w:style>
  <w:style w:type="paragraph" w:styleId="a7">
    <w:name w:val="Normal (Web)"/>
    <w:basedOn w:val="a"/>
    <w:uiPriority w:val="99"/>
    <w:unhideWhenUsed/>
    <w:rsid w:val="00572BB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57520E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A3ECC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0A3ECC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DFE"/>
    <w:pPr>
      <w:ind w:left="720"/>
      <w:contextualSpacing/>
    </w:pPr>
  </w:style>
  <w:style w:type="table" w:styleId="a6">
    <w:name w:val="Table Grid"/>
    <w:basedOn w:val="a1"/>
    <w:uiPriority w:val="59"/>
    <w:rsid w:val="00CB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gofoundword1">
    <w:name w:val="gogofoundword1"/>
    <w:basedOn w:val="a0"/>
    <w:rsid w:val="00066228"/>
    <w:rPr>
      <w:shd w:val="clear" w:color="auto" w:fill="FFFF00"/>
    </w:rPr>
  </w:style>
  <w:style w:type="paragraph" w:styleId="a7">
    <w:name w:val="Normal (Web)"/>
    <w:basedOn w:val="a"/>
    <w:uiPriority w:val="99"/>
    <w:unhideWhenUsed/>
    <w:rsid w:val="00572BB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57520E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A3ECC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0A3ECC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7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0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9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2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37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229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77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9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2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69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084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865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80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070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972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4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6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7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8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3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13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1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7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716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24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514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54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A1%D0%BE%D1%86%D0%B8%D0%B0%D0%BB%D1%8C%D0%BD%D1%8B%D0%B9%20%D0%BE%D0%BF%D1%82%D0%B8%D0%BC%D0%B8%D0%B7%D0%BC%20%D0%B2%20%D1%80%D0%B0%D0%B1%D0%BE%D1%82%D0%B0%D1%85%20%D1%81%D0%BE%D0%B2%D1%80%D0%B5%D0%BC%D0%B5%D0%BD%D0%BD%D1%8B%D1%85%20%D1%83%D1%87%D0%B5%D0%BD%D1%8B%D1%85&amp;qurl=http%3A%2F%2Fwww.dissercat.com%2Fcontent%2Fsotsialnyi-optimizm-i-pessimizm-kak-filosofskaya-antropogema&amp;c=15-1%3A457-2&amp;r=5411359&amp;frm=webhsm" TargetMode="External"/><Relationship Id="rId13" Type="http://schemas.openxmlformats.org/officeDocument/2006/relationships/hyperlink" Target="http://hl.mailru.su/mcached?q=%D0%A1%D0%BE%D1%86%D0%B8%D0%B0%D0%BB%D1%8C%D0%BD%D1%8B%D0%B9%20%D0%BE%D0%BF%D1%82%D0%B8%D0%BC%D0%B8%D0%B7%D0%BC%20%D0%B2%20%D1%80%D0%B0%D0%B1%D0%BE%D1%82%D0%B0%D1%85%20%D1%81%D0%BE%D0%B2%D1%80%D0%B5%D0%BC%D0%B5%D0%BD%D0%BD%D1%8B%D1%85%20%D1%83%D1%87%D0%B5%D0%BD%D1%8B%D1%85&amp;qurl=http%3A%2F%2Fwww.dissercat.com%2Fcontent%2Fsotsialnyi-optimizm-i-pessimizm-kak-filosofskaya-antropogema&amp;c=15-1%3A457-2&amp;r=5411359&amp;frm=webhs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l.mailru.su/mcached?q=%D0%A1%D0%BE%D1%86%D0%B8%D0%B0%D0%BB%D1%8C%D0%BD%D1%8B%D0%B9%20%D0%BE%D0%BF%D1%82%D0%B8%D0%BC%D0%B8%D0%B7%D0%BC%20%D0%B2%20%D1%80%D0%B0%D0%B1%D0%BE%D1%82%D0%B0%D1%85%20%D1%81%D0%BE%D0%B2%D1%80%D0%B5%D0%BC%D0%B5%D0%BD%D0%BD%D1%8B%D1%85%20%D1%83%D1%87%D0%B5%D0%BD%D1%8B%D1%85&amp;qurl=http%3A%2F%2Fwww.dissercat.com%2Fcontent%2Fsotsialnyi-optimizm-i-pessimizm-kak-filosofskaya-antropogema&amp;c=15-1%3A457-2&amp;r=5411359&amp;frm=webhsm" TargetMode="External"/><Relationship Id="rId12" Type="http://schemas.openxmlformats.org/officeDocument/2006/relationships/hyperlink" Target="http://hl.mailru.su/mcached?q=%D0%A1%D0%BE%D1%86%D0%B8%D0%B0%D0%BB%D1%8C%D0%BD%D1%8B%D0%B9%20%D0%BE%D0%BF%D1%82%D0%B8%D0%BC%D0%B8%D0%B7%D0%BC%20%D0%B2%20%D1%80%D0%B0%D0%B1%D0%BE%D1%82%D0%B0%D1%85%20%D1%81%D0%BE%D0%B2%D1%80%D0%B5%D0%BC%D0%B5%D0%BD%D0%BD%D1%8B%D1%85%20%D1%83%D1%87%D0%B5%D0%BD%D1%8B%D1%85&amp;qurl=http%3A%2F%2Fwww.dissercat.com%2Fcontent%2Fsotsialnyi-optimizm-i-pessimizm-kak-filosofskaya-antropogema&amp;c=15-1%3A457-2&amp;r=5411359&amp;frm=webh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.mailru.su/mcached?q=%D0%A1%D0%BE%D1%86%D0%B8%D0%B0%D0%BB%D1%8C%D0%BD%D1%8B%D0%B9%20%D0%BE%D0%BF%D1%82%D0%B8%D0%BC%D0%B8%D0%B7%D0%BC%20%D0%B2%20%D1%80%D0%B0%D0%B1%D0%BE%D1%82%D0%B0%D1%85%20%D1%81%D0%BE%D0%B2%D1%80%D0%B5%D0%BC%D0%B5%D0%BD%D0%BD%D1%8B%D1%85%20%D1%83%D1%87%D0%B5%D0%BD%D1%8B%D1%85&amp;qurl=http%3A%2F%2Fwww.dissercat.com%2Fcontent%2Fsotsialnyi-optimizm-i-pessimizm-kak-filosofskaya-antropogema&amp;c=15-1%3A457-2&amp;r=5411359&amp;frm=webhsm" TargetMode="External"/><Relationship Id="rId11" Type="http://schemas.openxmlformats.org/officeDocument/2006/relationships/hyperlink" Target="http://hl.mailru.su/mcached?q=%D0%A1%D0%BE%D1%86%D0%B8%D0%B0%D0%BB%D1%8C%D0%BD%D1%8B%D0%B9%20%D0%BE%D0%BF%D1%82%D0%B8%D0%BC%D0%B8%D0%B7%D0%BC%20%D0%B2%20%D1%80%D0%B0%D0%B1%D0%BE%D1%82%D0%B0%D1%85%20%D1%81%D0%BE%D0%B2%D1%80%D0%B5%D0%BC%D0%B5%D0%BD%D0%BD%D1%8B%D1%85%20%D1%83%D1%87%D0%B5%D0%BD%D1%8B%D1%85&amp;qurl=http%3A%2F%2Fwww.dissercat.com%2Fcontent%2Fsotsialnyi-optimizm-i-pessimizm-kak-filosofskaya-antropogema&amp;c=15-1%3A457-2&amp;r=5411359&amp;frm=webhs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363636363636363"/>
          <c:y val="0.1888111888111888"/>
          <c:w val="0.87272727272727268"/>
          <c:h val="0.7116918773311230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pattFill prst="dashDnDiag">
              <a:fgClr>
                <a:sysClr val="windowText" lastClr="000000"/>
              </a:fgClr>
              <a:bgClr>
                <a:sysClr val="window" lastClr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4.1811676949472312E-3"/>
                  <c:y val="4.5158147520349672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Sheet1!$A$2:$A$18</c:f>
              <c:strCache>
                <c:ptCount val="17"/>
                <c:pt idx="0">
                  <c:v>2000г.</c:v>
                </c:pt>
                <c:pt idx="1">
                  <c:v>2001г.</c:v>
                </c:pt>
                <c:pt idx="2">
                  <c:v>2002г.</c:v>
                </c:pt>
                <c:pt idx="3">
                  <c:v>2003г.</c:v>
                </c:pt>
                <c:pt idx="4">
                  <c:v>2004г.</c:v>
                </c:pt>
                <c:pt idx="5">
                  <c:v>2005г.</c:v>
                </c:pt>
                <c:pt idx="6">
                  <c:v>2006г.</c:v>
                </c:pt>
                <c:pt idx="7">
                  <c:v>2007г.</c:v>
                </c:pt>
                <c:pt idx="8">
                  <c:v>2008г.</c:v>
                </c:pt>
                <c:pt idx="9">
                  <c:v>2009г.</c:v>
                </c:pt>
                <c:pt idx="10">
                  <c:v>2010г.</c:v>
                </c:pt>
                <c:pt idx="11">
                  <c:v>2011г.</c:v>
                </c:pt>
                <c:pt idx="12">
                  <c:v>2012г.</c:v>
                </c:pt>
                <c:pt idx="13">
                  <c:v>2013г.</c:v>
                </c:pt>
                <c:pt idx="14">
                  <c:v>2014г.</c:v>
                </c:pt>
                <c:pt idx="15">
                  <c:v>2015г.</c:v>
                </c:pt>
                <c:pt idx="16">
                  <c:v>2016г.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11</c:v>
                </c:pt>
                <c:pt idx="1">
                  <c:v>11</c:v>
                </c:pt>
                <c:pt idx="2">
                  <c:v>17</c:v>
                </c:pt>
                <c:pt idx="3">
                  <c:v>19</c:v>
                </c:pt>
                <c:pt idx="4">
                  <c:v>16</c:v>
                </c:pt>
                <c:pt idx="5">
                  <c:v>12</c:v>
                </c:pt>
                <c:pt idx="6">
                  <c:v>14</c:v>
                </c:pt>
                <c:pt idx="7">
                  <c:v>14</c:v>
                </c:pt>
                <c:pt idx="8">
                  <c:v>7</c:v>
                </c:pt>
                <c:pt idx="9">
                  <c:v>9</c:v>
                </c:pt>
                <c:pt idx="10">
                  <c:v>11</c:v>
                </c:pt>
                <c:pt idx="11">
                  <c:v>9</c:v>
                </c:pt>
                <c:pt idx="12">
                  <c:v>10</c:v>
                </c:pt>
                <c:pt idx="13">
                  <c:v>11</c:v>
                </c:pt>
                <c:pt idx="14">
                  <c:v>8</c:v>
                </c:pt>
                <c:pt idx="15">
                  <c:v>15</c:v>
                </c:pt>
                <c:pt idx="16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Хуже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ysClr val="window" lastClr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Sheet1!$A$2:$A$18</c:f>
              <c:strCache>
                <c:ptCount val="17"/>
                <c:pt idx="0">
                  <c:v>2000г.</c:v>
                </c:pt>
                <c:pt idx="1">
                  <c:v>2001г.</c:v>
                </c:pt>
                <c:pt idx="2">
                  <c:v>2002г.</c:v>
                </c:pt>
                <c:pt idx="3">
                  <c:v>2003г.</c:v>
                </c:pt>
                <c:pt idx="4">
                  <c:v>2004г.</c:v>
                </c:pt>
                <c:pt idx="5">
                  <c:v>2005г.</c:v>
                </c:pt>
                <c:pt idx="6">
                  <c:v>2006г.</c:v>
                </c:pt>
                <c:pt idx="7">
                  <c:v>2007г.</c:v>
                </c:pt>
                <c:pt idx="8">
                  <c:v>2008г.</c:v>
                </c:pt>
                <c:pt idx="9">
                  <c:v>2009г.</c:v>
                </c:pt>
                <c:pt idx="10">
                  <c:v>2010г.</c:v>
                </c:pt>
                <c:pt idx="11">
                  <c:v>2011г.</c:v>
                </c:pt>
                <c:pt idx="12">
                  <c:v>2012г.</c:v>
                </c:pt>
                <c:pt idx="13">
                  <c:v>2013г.</c:v>
                </c:pt>
                <c:pt idx="14">
                  <c:v>2014г.</c:v>
                </c:pt>
                <c:pt idx="15">
                  <c:v>2015г.</c:v>
                </c:pt>
                <c:pt idx="16">
                  <c:v>2016г.</c:v>
                </c:pt>
              </c:strCache>
            </c:str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11</c:v>
                </c:pt>
                <c:pt idx="1">
                  <c:v>19</c:v>
                </c:pt>
                <c:pt idx="2">
                  <c:v>25</c:v>
                </c:pt>
                <c:pt idx="3">
                  <c:v>12</c:v>
                </c:pt>
                <c:pt idx="4">
                  <c:v>40</c:v>
                </c:pt>
                <c:pt idx="5">
                  <c:v>19</c:v>
                </c:pt>
                <c:pt idx="6">
                  <c:v>14</c:v>
                </c:pt>
                <c:pt idx="7">
                  <c:v>13</c:v>
                </c:pt>
                <c:pt idx="8">
                  <c:v>61</c:v>
                </c:pt>
                <c:pt idx="9">
                  <c:v>19</c:v>
                </c:pt>
                <c:pt idx="10">
                  <c:v>19</c:v>
                </c:pt>
                <c:pt idx="11">
                  <c:v>20</c:v>
                </c:pt>
                <c:pt idx="12">
                  <c:v>18</c:v>
                </c:pt>
                <c:pt idx="13">
                  <c:v>24</c:v>
                </c:pt>
                <c:pt idx="14">
                  <c:v>38</c:v>
                </c:pt>
                <c:pt idx="15">
                  <c:v>24</c:v>
                </c:pt>
                <c:pt idx="16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Таким же</c:v>
                </c:pt>
              </c:strCache>
            </c:strRef>
          </c:tx>
          <c:spPr>
            <a:solidFill>
              <a:sysClr val="window" lastClr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Sheet1!$A$2:$A$18</c:f>
              <c:strCache>
                <c:ptCount val="17"/>
                <c:pt idx="0">
                  <c:v>2000г.</c:v>
                </c:pt>
                <c:pt idx="1">
                  <c:v>2001г.</c:v>
                </c:pt>
                <c:pt idx="2">
                  <c:v>2002г.</c:v>
                </c:pt>
                <c:pt idx="3">
                  <c:v>2003г.</c:v>
                </c:pt>
                <c:pt idx="4">
                  <c:v>2004г.</c:v>
                </c:pt>
                <c:pt idx="5">
                  <c:v>2005г.</c:v>
                </c:pt>
                <c:pt idx="6">
                  <c:v>2006г.</c:v>
                </c:pt>
                <c:pt idx="7">
                  <c:v>2007г.</c:v>
                </c:pt>
                <c:pt idx="8">
                  <c:v>2008г.</c:v>
                </c:pt>
                <c:pt idx="9">
                  <c:v>2009г.</c:v>
                </c:pt>
                <c:pt idx="10">
                  <c:v>2010г.</c:v>
                </c:pt>
                <c:pt idx="11">
                  <c:v>2011г.</c:v>
                </c:pt>
                <c:pt idx="12">
                  <c:v>2012г.</c:v>
                </c:pt>
                <c:pt idx="13">
                  <c:v>2013г.</c:v>
                </c:pt>
                <c:pt idx="14">
                  <c:v>2014г.</c:v>
                </c:pt>
                <c:pt idx="15">
                  <c:v>2015г.</c:v>
                </c:pt>
                <c:pt idx="16">
                  <c:v>2016г.</c:v>
                </c:pt>
              </c:strCache>
            </c:str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28</c:v>
                </c:pt>
                <c:pt idx="1">
                  <c:v>27</c:v>
                </c:pt>
                <c:pt idx="2">
                  <c:v>26</c:v>
                </c:pt>
                <c:pt idx="3">
                  <c:v>29</c:v>
                </c:pt>
                <c:pt idx="4">
                  <c:v>23</c:v>
                </c:pt>
                <c:pt idx="5">
                  <c:v>28</c:v>
                </c:pt>
                <c:pt idx="6">
                  <c:v>34</c:v>
                </c:pt>
                <c:pt idx="7">
                  <c:v>36</c:v>
                </c:pt>
                <c:pt idx="8">
                  <c:v>14</c:v>
                </c:pt>
                <c:pt idx="9">
                  <c:v>35</c:v>
                </c:pt>
                <c:pt idx="10">
                  <c:v>30</c:v>
                </c:pt>
                <c:pt idx="11">
                  <c:v>32</c:v>
                </c:pt>
                <c:pt idx="12">
                  <c:v>23</c:v>
                </c:pt>
                <c:pt idx="13">
                  <c:v>23</c:v>
                </c:pt>
                <c:pt idx="14">
                  <c:v>12</c:v>
                </c:pt>
                <c:pt idx="15">
                  <c:v>21</c:v>
                </c:pt>
                <c:pt idx="16">
                  <c:v>19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Лучше</c:v>
                </c:pt>
              </c:strCache>
            </c:strRef>
          </c:tx>
          <c:spPr>
            <a:pattFill prst="divot">
              <a:fgClr>
                <a:sysClr val="windowText" lastClr="000000"/>
              </a:fgClr>
              <a:bgClr>
                <a:sysClr val="window" lastClr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Sheet1!$A$2:$A$18</c:f>
              <c:strCache>
                <c:ptCount val="17"/>
                <c:pt idx="0">
                  <c:v>2000г.</c:v>
                </c:pt>
                <c:pt idx="1">
                  <c:v>2001г.</c:v>
                </c:pt>
                <c:pt idx="2">
                  <c:v>2002г.</c:v>
                </c:pt>
                <c:pt idx="3">
                  <c:v>2003г.</c:v>
                </c:pt>
                <c:pt idx="4">
                  <c:v>2004г.</c:v>
                </c:pt>
                <c:pt idx="5">
                  <c:v>2005г.</c:v>
                </c:pt>
                <c:pt idx="6">
                  <c:v>2006г.</c:v>
                </c:pt>
                <c:pt idx="7">
                  <c:v>2007г.</c:v>
                </c:pt>
                <c:pt idx="8">
                  <c:v>2008г.</c:v>
                </c:pt>
                <c:pt idx="9">
                  <c:v>2009г.</c:v>
                </c:pt>
                <c:pt idx="10">
                  <c:v>2010г.</c:v>
                </c:pt>
                <c:pt idx="11">
                  <c:v>2011г.</c:v>
                </c:pt>
                <c:pt idx="12">
                  <c:v>2012г.</c:v>
                </c:pt>
                <c:pt idx="13">
                  <c:v>2013г.</c:v>
                </c:pt>
                <c:pt idx="14">
                  <c:v>2014г.</c:v>
                </c:pt>
                <c:pt idx="15">
                  <c:v>2015г.</c:v>
                </c:pt>
                <c:pt idx="16">
                  <c:v>2016г.</c:v>
                </c:pt>
              </c:strCache>
            </c:str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50</c:v>
                </c:pt>
                <c:pt idx="1">
                  <c:v>43</c:v>
                </c:pt>
                <c:pt idx="2">
                  <c:v>32</c:v>
                </c:pt>
                <c:pt idx="3">
                  <c:v>40</c:v>
                </c:pt>
                <c:pt idx="4">
                  <c:v>20</c:v>
                </c:pt>
                <c:pt idx="5">
                  <c:v>41</c:v>
                </c:pt>
                <c:pt idx="6">
                  <c:v>38</c:v>
                </c:pt>
                <c:pt idx="7">
                  <c:v>37</c:v>
                </c:pt>
                <c:pt idx="8">
                  <c:v>18</c:v>
                </c:pt>
                <c:pt idx="9">
                  <c:v>38</c:v>
                </c:pt>
                <c:pt idx="10">
                  <c:v>40</c:v>
                </c:pt>
                <c:pt idx="11">
                  <c:v>38</c:v>
                </c:pt>
                <c:pt idx="12">
                  <c:v>50</c:v>
                </c:pt>
                <c:pt idx="13">
                  <c:v>42</c:v>
                </c:pt>
                <c:pt idx="14">
                  <c:v>42</c:v>
                </c:pt>
                <c:pt idx="15">
                  <c:v>40</c:v>
                </c:pt>
                <c:pt idx="16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158963200"/>
        <c:axId val="158964736"/>
      </c:barChart>
      <c:catAx>
        <c:axId val="15896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8964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96473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8963200"/>
        <c:crosses val="autoZero"/>
        <c:crossBetween val="between"/>
      </c:valAx>
      <c:spPr>
        <a:noFill/>
        <a:ln w="25401">
          <a:noFill/>
        </a:ln>
      </c:spPr>
    </c:plotArea>
    <c:legend>
      <c:legendPos val="t"/>
      <c:layout>
        <c:manualLayout>
          <c:xMode val="edge"/>
          <c:yMode val="edge"/>
          <c:x val="0.23484848484848486"/>
          <c:y val="1.048951048951049E-2"/>
          <c:w val="0.62575757575757573"/>
          <c:h val="9.4405594405594401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5714285714285715E-2"/>
          <c:y val="0.24271844660194175"/>
          <c:w val="0.91587301587301584"/>
          <c:h val="0.359223300970873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1999г.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Самое трудное уже позади</c:v>
                </c:pt>
                <c:pt idx="1">
                  <c:v>Улучшений пока не видно, но путь в принципе верен</c:v>
                </c:pt>
                <c:pt idx="2">
                  <c:v>Реформы зашли в тупик, нас ждут тяжелые испытания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0.01</c:v>
                </c:pt>
                <c:pt idx="1">
                  <c:v>0.2</c:v>
                </c:pt>
                <c:pt idx="2">
                  <c:v>0.75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2000г.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Самое трудное уже позади</c:v>
                </c:pt>
                <c:pt idx="1">
                  <c:v>Улучшений пока не видно, но путь в принципе верен</c:v>
                </c:pt>
                <c:pt idx="2">
                  <c:v>Реформы зашли в тупик, нас ждут тяжелые испытания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0.35</c:v>
                </c:pt>
                <c:pt idx="2">
                  <c:v>0.45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2001г.</c:v>
                </c:pt>
              </c:strCache>
            </c:strRef>
          </c:tx>
          <c:spPr>
            <a:pattFill prst="divot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Самое трудное уже позади</c:v>
                </c:pt>
                <c:pt idx="1">
                  <c:v>Улучшений пока не видно, но путь в принципе верен</c:v>
                </c:pt>
                <c:pt idx="2">
                  <c:v>Реформы зашли в тупик, нас ждут тяжелые испытания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0.04</c:v>
                </c:pt>
                <c:pt idx="1">
                  <c:v>0.37</c:v>
                </c:pt>
                <c:pt idx="2">
                  <c:v>0.49</c:v>
                </c:pt>
                <c:pt idx="3">
                  <c:v>0.1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2010г.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Самое трудное уже позади</c:v>
                </c:pt>
                <c:pt idx="1">
                  <c:v>Улучшений пока не видно, но путь в принципе верен</c:v>
                </c:pt>
                <c:pt idx="2">
                  <c:v>Реформы зашли в тупик, нас ждут тяжелые испытания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0.13</c:v>
                </c:pt>
                <c:pt idx="1">
                  <c:v>0.41</c:v>
                </c:pt>
                <c:pt idx="2">
                  <c:v>0.33</c:v>
                </c:pt>
                <c:pt idx="3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2016г.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Самое трудное уже позади</c:v>
                </c:pt>
                <c:pt idx="1">
                  <c:v>Улучшений пока не видно, но путь в принципе верен</c:v>
                </c:pt>
                <c:pt idx="2">
                  <c:v>Реформы зашли в тупик, нас ждут тяжелые испытания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Sheet1!$B$6:$E$6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0.59</c:v>
                </c:pt>
                <c:pt idx="2">
                  <c:v>0.3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60088064"/>
        <c:axId val="160089600"/>
      </c:barChart>
      <c:catAx>
        <c:axId val="16008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08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08960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08806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1380952380952381"/>
          <c:y val="1.4563106796116505E-2"/>
          <c:w val="0.51101630287218591"/>
          <c:h val="0.1062398121287470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1195</Words>
  <Characters>7723</Characters>
  <Application>Microsoft Office Word</Application>
  <DocSecurity>0</DocSecurity>
  <Lines>160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</dc:creator>
  <cp:lastModifiedBy>Nelly</cp:lastModifiedBy>
  <cp:revision>5</cp:revision>
  <dcterms:created xsi:type="dcterms:W3CDTF">2017-02-08T11:26:00Z</dcterms:created>
  <dcterms:modified xsi:type="dcterms:W3CDTF">2017-02-08T21:20:00Z</dcterms:modified>
</cp:coreProperties>
</file>